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OPEN CONTRACTING IN MEXICO</w:t>
      </w:r>
      <w:r w:rsidDel="00000000" w:rsidR="00000000" w:rsidRPr="00000000">
        <w:rPr>
          <w:rtl w:val="0"/>
        </w:rPr>
      </w:r>
    </w:p>
    <w:p w:rsidR="00000000" w:rsidDel="00000000" w:rsidP="00000000" w:rsidRDefault="00000000" w:rsidRPr="00000000" w14:paraId="00000002">
      <w:pPr>
        <w:pageBreakBefore w:val="0"/>
        <w:spacing w:line="240"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3">
      <w:pPr>
        <w:pStyle w:val="Heading3"/>
        <w:keepNext w:val="1"/>
        <w:keepLines w:val="1"/>
        <w:pageBreakBefore w:val="0"/>
        <w:spacing w:line="240" w:lineRule="auto"/>
        <w:ind w:left="0" w:firstLine="0"/>
        <w:jc w:val="both"/>
        <w:rPr>
          <w:rFonts w:ascii="Proxima Nova" w:cs="Proxima Nova" w:eastAsia="Proxima Nova" w:hAnsi="Proxima Nova"/>
          <w:sz w:val="22"/>
          <w:szCs w:val="22"/>
        </w:rPr>
      </w:pPr>
      <w:bookmarkStart w:colFirst="0" w:colLast="0" w:name="_rzuk4spcr0kf" w:id="0"/>
      <w:bookmarkEnd w:id="0"/>
      <w:r w:rsidDel="00000000" w:rsidR="00000000" w:rsidRPr="00000000">
        <w:rPr>
          <w:rFonts w:ascii="Proxima Nova" w:cs="Proxima Nova" w:eastAsia="Proxima Nova" w:hAnsi="Proxima Nova"/>
          <w:sz w:val="22"/>
          <w:szCs w:val="22"/>
          <w:rtl w:val="0"/>
        </w:rPr>
        <w:t xml:space="preserve">1. Introduction</w:t>
      </w:r>
      <w:r w:rsidDel="00000000" w:rsidR="00000000" w:rsidRPr="00000000">
        <w:rPr>
          <w:rtl w:val="0"/>
        </w:rPr>
      </w:r>
    </w:p>
    <w:p w:rsidR="00000000" w:rsidDel="00000000" w:rsidP="00000000" w:rsidRDefault="00000000" w:rsidRPr="00000000" w14:paraId="00000004">
      <w:pPr>
        <w:spacing w:line="240" w:lineRule="auto"/>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Open Contracting (Contrataciones Abiertas in Spanish) is an </w:t>
      </w:r>
      <w:r w:rsidDel="00000000" w:rsidR="00000000" w:rsidRPr="00000000">
        <w:rPr>
          <w:rFonts w:ascii="Proxima Nova" w:cs="Proxima Nova" w:eastAsia="Proxima Nova" w:hAnsi="Proxima Nova"/>
          <w:b w:val="1"/>
          <w:sz w:val="22"/>
          <w:szCs w:val="22"/>
          <w:rtl w:val="0"/>
        </w:rPr>
        <w:t xml:space="preserve">international initiative</w:t>
      </w:r>
      <w:r w:rsidDel="00000000" w:rsidR="00000000" w:rsidRPr="00000000">
        <w:rPr>
          <w:rFonts w:ascii="Proxima Nova" w:cs="Proxima Nova" w:eastAsia="Proxima Nova" w:hAnsi="Proxima Nova"/>
          <w:sz w:val="22"/>
          <w:szCs w:val="22"/>
          <w:rtl w:val="0"/>
        </w:rPr>
        <w:t xml:space="preserve"> promoted by Open Contracting Partnership</w:t>
      </w:r>
      <w:r w:rsidDel="00000000" w:rsidR="00000000" w:rsidRPr="00000000">
        <w:rPr>
          <w:rFonts w:ascii="Proxima Nova" w:cs="Proxima Nova" w:eastAsia="Proxima Nova" w:hAnsi="Proxima Nova"/>
          <w:sz w:val="22"/>
          <w:szCs w:val="22"/>
          <w:vertAlign w:val="superscript"/>
        </w:rPr>
        <w:footnoteReference w:customMarkFollows="0" w:id="0"/>
      </w:r>
      <w:r w:rsidDel="00000000" w:rsidR="00000000" w:rsidRPr="00000000">
        <w:rPr>
          <w:rFonts w:ascii="Proxima Nova" w:cs="Proxima Nova" w:eastAsia="Proxima Nova" w:hAnsi="Proxima Nova"/>
          <w:sz w:val="22"/>
          <w:szCs w:val="22"/>
          <w:rtl w:val="0"/>
        </w:rPr>
        <w:t xml:space="preserve"> (OCP) which aims to increase the supply and quality of information related to government contracting procedures; in addition to enhancing its comparability and usefulness through the adoption of its main instrument: the </w:t>
      </w:r>
      <w:r w:rsidDel="00000000" w:rsidR="00000000" w:rsidRPr="00000000">
        <w:rPr>
          <w:rFonts w:ascii="Proxima Nova" w:cs="Proxima Nova" w:eastAsia="Proxima Nova" w:hAnsi="Proxima Nova"/>
          <w:b w:val="1"/>
          <w:sz w:val="22"/>
          <w:szCs w:val="22"/>
          <w:rtl w:val="0"/>
        </w:rPr>
        <w:t xml:space="preserve">Open Contracting Data Standard</w:t>
      </w:r>
      <w:r w:rsidDel="00000000" w:rsidR="00000000" w:rsidRPr="00000000">
        <w:rPr>
          <w:rFonts w:ascii="Proxima Nova" w:cs="Proxima Nova" w:eastAsia="Proxima Nova" w:hAnsi="Proxima Nova"/>
          <w:b w:val="1"/>
          <w:sz w:val="22"/>
          <w:szCs w:val="22"/>
          <w:vertAlign w:val="superscript"/>
        </w:rPr>
        <w:footnoteReference w:customMarkFollows="0" w:id="1"/>
      </w:r>
      <w:r w:rsidDel="00000000" w:rsidR="00000000" w:rsidRPr="00000000">
        <w:rPr>
          <w:rFonts w:ascii="Proxima Nova" w:cs="Proxima Nova" w:eastAsia="Proxima Nova" w:hAnsi="Proxima Nova"/>
          <w:sz w:val="22"/>
          <w:szCs w:val="22"/>
          <w:rtl w:val="0"/>
        </w:rPr>
        <w:t xml:space="preserve"> (OCDS, or EDCA in Spanish), to promote participatory processes with different actors including civil society, journalists and the private sector in order to improve services and public works.</w:t>
      </w:r>
    </w:p>
    <w:p w:rsidR="00000000" w:rsidDel="00000000" w:rsidP="00000000" w:rsidRDefault="00000000" w:rsidRPr="00000000" w14:paraId="00000006">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In Mexico, the National Institute for Transparency, Access to Information and Protection of Personal Data (INAI) along with OCP promote, with the support and leadership of the Local Guarantor Organisms (OGL) of the </w:t>
      </w:r>
      <w:r w:rsidDel="00000000" w:rsidR="00000000" w:rsidRPr="00000000">
        <w:rPr>
          <w:rFonts w:ascii="Proxima Nova" w:cs="Proxima Nova" w:eastAsia="Proxima Nova" w:hAnsi="Proxima Nova"/>
          <w:b w:val="1"/>
          <w:sz w:val="22"/>
          <w:szCs w:val="22"/>
          <w:rtl w:val="0"/>
        </w:rPr>
        <w:t xml:space="preserve">National Transparency System</w:t>
      </w:r>
      <w:r w:rsidDel="00000000" w:rsidR="00000000" w:rsidRPr="00000000">
        <w:rPr>
          <w:rFonts w:ascii="Proxima Nova" w:cs="Proxima Nova" w:eastAsia="Proxima Nova" w:hAnsi="Proxima Nova"/>
          <w:sz w:val="22"/>
          <w:szCs w:val="22"/>
          <w:rtl w:val="0"/>
        </w:rPr>
        <w:t xml:space="preserve"> (SNT), the implementation of this initiative in the obligated entities of the three levels of government, through the adoption of a </w:t>
      </w:r>
      <w:r w:rsidDel="00000000" w:rsidR="00000000" w:rsidRPr="00000000">
        <w:rPr>
          <w:rFonts w:ascii="Proxima Nova" w:cs="Proxima Nova" w:eastAsia="Proxima Nova" w:hAnsi="Proxima Nova"/>
          <w:b w:val="1"/>
          <w:sz w:val="22"/>
          <w:szCs w:val="22"/>
          <w:u w:val="single"/>
          <w:rtl w:val="0"/>
        </w:rPr>
        <w:t xml:space="preserve">technological tool</w:t>
      </w:r>
      <w:r w:rsidDel="00000000" w:rsidR="00000000" w:rsidRPr="00000000">
        <w:rPr>
          <w:rFonts w:ascii="Proxima Nova" w:cs="Proxima Nova" w:eastAsia="Proxima Nova" w:hAnsi="Proxima Nova"/>
          <w:sz w:val="22"/>
          <w:szCs w:val="22"/>
          <w:rtl w:val="0"/>
        </w:rPr>
        <w:t xml:space="preserve"> and a viewer built for this purpose.</w:t>
      </w:r>
    </w:p>
    <w:p w:rsidR="00000000" w:rsidDel="00000000" w:rsidP="00000000" w:rsidRDefault="00000000" w:rsidRPr="00000000" w14:paraId="00000008">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9">
      <w:pPr>
        <w:pStyle w:val="Heading3"/>
        <w:jc w:val="both"/>
        <w:rPr>
          <w:rFonts w:ascii="Proxima Nova" w:cs="Proxima Nova" w:eastAsia="Proxima Nova" w:hAnsi="Proxima Nova"/>
          <w:sz w:val="22"/>
          <w:szCs w:val="22"/>
        </w:rPr>
      </w:pPr>
      <w:bookmarkStart w:colFirst="0" w:colLast="0" w:name="_ncwrgmffjmud" w:id="1"/>
      <w:bookmarkEnd w:id="1"/>
      <w:r w:rsidDel="00000000" w:rsidR="00000000" w:rsidRPr="00000000">
        <w:rPr>
          <w:rFonts w:ascii="Proxima Nova" w:cs="Proxima Nova" w:eastAsia="Proxima Nova" w:hAnsi="Proxima Nova"/>
          <w:sz w:val="22"/>
          <w:szCs w:val="22"/>
          <w:rtl w:val="0"/>
        </w:rPr>
        <w:t xml:space="preserve">2. Initiative objectives</w:t>
      </w:r>
    </w:p>
    <w:p w:rsidR="00000000" w:rsidDel="00000000" w:rsidP="00000000" w:rsidRDefault="00000000" w:rsidRPr="00000000" w14:paraId="0000000A">
      <w:pPr>
        <w:pageBreakBefore w:val="0"/>
        <w:spacing w:line="240" w:lineRule="auto"/>
        <w:jc w:val="both"/>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0B">
      <w:pPr>
        <w:numPr>
          <w:ilvl w:val="0"/>
          <w:numId w:val="1"/>
        </w:numPr>
        <w:ind w:left="720" w:hanging="36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Produce and </w:t>
      </w:r>
      <w:r w:rsidDel="00000000" w:rsidR="00000000" w:rsidRPr="00000000">
        <w:rPr>
          <w:rFonts w:ascii="Proxima Nova" w:cs="Proxima Nova" w:eastAsia="Proxima Nova" w:hAnsi="Proxima Nova"/>
          <w:b w:val="1"/>
          <w:sz w:val="22"/>
          <w:szCs w:val="22"/>
          <w:rtl w:val="0"/>
        </w:rPr>
        <w:t xml:space="preserve">publish information</w:t>
      </w:r>
      <w:r w:rsidDel="00000000" w:rsidR="00000000" w:rsidRPr="00000000">
        <w:rPr>
          <w:rFonts w:ascii="Proxima Nova" w:cs="Proxima Nova" w:eastAsia="Proxima Nova" w:hAnsi="Proxima Nova"/>
          <w:sz w:val="22"/>
          <w:szCs w:val="22"/>
          <w:rtl w:val="0"/>
        </w:rPr>
        <w:t xml:space="preserve"> in </w:t>
      </w:r>
      <w:r w:rsidDel="00000000" w:rsidR="00000000" w:rsidRPr="00000000">
        <w:rPr>
          <w:rFonts w:ascii="Proxima Nova" w:cs="Proxima Nova" w:eastAsia="Proxima Nova" w:hAnsi="Proxima Nova"/>
          <w:b w:val="1"/>
          <w:sz w:val="22"/>
          <w:szCs w:val="22"/>
          <w:rtl w:val="0"/>
        </w:rPr>
        <w:t xml:space="preserve">structured, open and accessible</w:t>
      </w:r>
      <w:r w:rsidDel="00000000" w:rsidR="00000000" w:rsidRPr="00000000">
        <w:rPr>
          <w:rFonts w:ascii="Proxima Nova" w:cs="Proxima Nova" w:eastAsia="Proxima Nova" w:hAnsi="Proxima Nova"/>
          <w:sz w:val="22"/>
          <w:szCs w:val="22"/>
          <w:rtl w:val="0"/>
        </w:rPr>
        <w:t xml:space="preserve"> formats of the entire public procurement cycle, in accordance with the OCDS.</w:t>
      </w:r>
    </w:p>
    <w:p w:rsidR="00000000" w:rsidDel="00000000" w:rsidP="00000000" w:rsidRDefault="00000000" w:rsidRPr="00000000" w14:paraId="0000000C">
      <w:pPr>
        <w:numPr>
          <w:ilvl w:val="0"/>
          <w:numId w:val="1"/>
        </w:numPr>
        <w:ind w:left="720" w:hanging="36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Promote </w:t>
      </w:r>
      <w:r w:rsidDel="00000000" w:rsidR="00000000" w:rsidRPr="00000000">
        <w:rPr>
          <w:rFonts w:ascii="Proxima Nova" w:cs="Proxima Nova" w:eastAsia="Proxima Nova" w:hAnsi="Proxima Nova"/>
          <w:b w:val="1"/>
          <w:sz w:val="22"/>
          <w:szCs w:val="22"/>
          <w:rtl w:val="0"/>
        </w:rPr>
        <w:t xml:space="preserve">citizen involvement</w:t>
      </w:r>
      <w:r w:rsidDel="00000000" w:rsidR="00000000" w:rsidRPr="00000000">
        <w:rPr>
          <w:rFonts w:ascii="Proxima Nova" w:cs="Proxima Nova" w:eastAsia="Proxima Nova" w:hAnsi="Proxima Nova"/>
          <w:sz w:val="22"/>
          <w:szCs w:val="22"/>
          <w:rtl w:val="0"/>
        </w:rPr>
        <w:t xml:space="preserve"> and surveillance of public institutions to monitor the use of public resources.</w:t>
      </w:r>
    </w:p>
    <w:p w:rsidR="00000000" w:rsidDel="00000000" w:rsidP="00000000" w:rsidRDefault="00000000" w:rsidRPr="00000000" w14:paraId="0000000D">
      <w:pPr>
        <w:numPr>
          <w:ilvl w:val="0"/>
          <w:numId w:val="1"/>
        </w:numPr>
        <w:ind w:left="720" w:hanging="36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Increase the </w:t>
      </w:r>
      <w:r w:rsidDel="00000000" w:rsidR="00000000" w:rsidRPr="00000000">
        <w:rPr>
          <w:rFonts w:ascii="Proxima Nova" w:cs="Proxima Nova" w:eastAsia="Proxima Nova" w:hAnsi="Proxima Nova"/>
          <w:b w:val="1"/>
          <w:sz w:val="22"/>
          <w:szCs w:val="22"/>
          <w:rtl w:val="0"/>
        </w:rPr>
        <w:t xml:space="preserve">efficiency and effectiveness</w:t>
      </w:r>
      <w:r w:rsidDel="00000000" w:rsidR="00000000" w:rsidRPr="00000000">
        <w:rPr>
          <w:rFonts w:ascii="Proxima Nova" w:cs="Proxima Nova" w:eastAsia="Proxima Nova" w:hAnsi="Proxima Nova"/>
          <w:sz w:val="22"/>
          <w:szCs w:val="22"/>
          <w:rtl w:val="0"/>
        </w:rPr>
        <w:t xml:space="preserve"> of public management to improve the quality and price of goods, services and works contracted.</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F">
      <w:pPr>
        <w:pStyle w:val="Heading3"/>
        <w:keepNext w:val="1"/>
        <w:keepLines w:val="1"/>
        <w:pageBreakBefore w:val="0"/>
        <w:spacing w:line="240" w:lineRule="auto"/>
        <w:jc w:val="both"/>
        <w:rPr>
          <w:rFonts w:ascii="Proxima Nova" w:cs="Proxima Nova" w:eastAsia="Proxima Nova" w:hAnsi="Proxima Nova"/>
          <w:sz w:val="22"/>
          <w:szCs w:val="22"/>
        </w:rPr>
      </w:pPr>
      <w:bookmarkStart w:colFirst="0" w:colLast="0" w:name="_yv1wlqf1o258" w:id="2"/>
      <w:bookmarkEnd w:id="2"/>
      <w:r w:rsidDel="00000000" w:rsidR="00000000" w:rsidRPr="00000000">
        <w:rPr>
          <w:rFonts w:ascii="Proxima Nova" w:cs="Proxima Nova" w:eastAsia="Proxima Nova" w:hAnsi="Proxima Nova"/>
          <w:sz w:val="22"/>
          <w:szCs w:val="22"/>
          <w:rtl w:val="0"/>
        </w:rPr>
        <w:t xml:space="preserve">3</w:t>
      </w:r>
      <w:r w:rsidDel="00000000" w:rsidR="00000000" w:rsidRPr="00000000">
        <w:rPr>
          <w:rFonts w:ascii="Proxima Nova" w:cs="Proxima Nova" w:eastAsia="Proxima Nova" w:hAnsi="Proxima Nova"/>
          <w:sz w:val="22"/>
          <w:szCs w:val="22"/>
          <w:rtl w:val="0"/>
        </w:rPr>
        <w:t xml:space="preserve">. Work strategy</w:t>
      </w:r>
    </w:p>
    <w:p w:rsidR="00000000" w:rsidDel="00000000" w:rsidP="00000000" w:rsidRDefault="00000000" w:rsidRPr="00000000" w14:paraId="00000010">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1">
      <w:pPr>
        <w:pageBreakBefore w:val="0"/>
        <w:spacing w:line="240" w:lineRule="auto"/>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Each year a convocation is issued with the purpose of giving continuity to this agenda in the country. On one hand, promoting the implementation in the OGLs that are not yet part of the initiative and also, in the cases where the OGL has already implemented the initiative, collaborating to promote it among its local obligated entities of the three levels of government.</w:t>
      </w:r>
    </w:p>
    <w:p w:rsidR="00000000" w:rsidDel="00000000" w:rsidP="00000000" w:rsidRDefault="00000000" w:rsidRPr="00000000" w14:paraId="00000012">
      <w:pPr>
        <w:pageBreakBefore w:val="0"/>
        <w:spacing w:line="240" w:lineRule="auto"/>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3">
      <w:pPr>
        <w:pageBreakBefore w:val="0"/>
        <w:spacing w:line="240" w:lineRule="auto"/>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To participate, each implementer takes the following steps: 1. Express interest in joining the initiative. 2. Prepare a Publishing Commitment in order to know what content will be published, the period covered by the information and the frequency with which it will be updated. 3. Identify where the information to be published is stored and relate the data to the OCDS. 4. Publish the </w:t>
      </w:r>
      <w:r w:rsidDel="00000000" w:rsidR="00000000" w:rsidRPr="00000000">
        <w:rPr>
          <w:rFonts w:ascii="Proxima Nova" w:cs="Proxima Nova" w:eastAsia="Proxima Nova" w:hAnsi="Proxima Nova"/>
          <w:b w:val="1"/>
          <w:sz w:val="22"/>
          <w:szCs w:val="22"/>
          <w:rtl w:val="0"/>
        </w:rPr>
        <w:t xml:space="preserve">Publishing Policy</w:t>
      </w:r>
      <w:r w:rsidDel="00000000" w:rsidR="00000000" w:rsidRPr="00000000">
        <w:rPr>
          <w:rFonts w:ascii="Proxima Nova" w:cs="Proxima Nova" w:eastAsia="Proxima Nova" w:hAnsi="Proxima Nova"/>
          <w:sz w:val="22"/>
          <w:szCs w:val="22"/>
          <w:rtl w:val="0"/>
        </w:rPr>
        <w:t xml:space="preserve">, which will serve as a guide as to what is to be published as well as the rules for its access, use and reuse. 5. Define and use a </w:t>
      </w:r>
      <w:r w:rsidDel="00000000" w:rsidR="00000000" w:rsidRPr="00000000">
        <w:rPr>
          <w:rFonts w:ascii="Proxima Nova" w:cs="Proxima Nova" w:eastAsia="Proxima Nova" w:hAnsi="Proxima Nova"/>
          <w:b w:val="1"/>
          <w:sz w:val="22"/>
          <w:szCs w:val="22"/>
          <w:rtl w:val="0"/>
        </w:rPr>
        <w:t xml:space="preserve">technological tool</w:t>
      </w:r>
      <w:r w:rsidDel="00000000" w:rsidR="00000000" w:rsidRPr="00000000">
        <w:rPr>
          <w:rFonts w:ascii="Proxima Nova" w:cs="Proxima Nova" w:eastAsia="Proxima Nova" w:hAnsi="Proxima Nova"/>
          <w:sz w:val="22"/>
          <w:szCs w:val="22"/>
          <w:rtl w:val="0"/>
        </w:rPr>
        <w:t xml:space="preserve">, which may be the Open Contracting tool</w:t>
      </w:r>
      <w:r w:rsidDel="00000000" w:rsidR="00000000" w:rsidRPr="00000000">
        <w:rPr>
          <w:rFonts w:ascii="Proxima Nova" w:cs="Proxima Nova" w:eastAsia="Proxima Nova" w:hAnsi="Proxima Nova"/>
          <w:sz w:val="22"/>
          <w:szCs w:val="22"/>
          <w:vertAlign w:val="superscript"/>
        </w:rPr>
        <w:footnoteReference w:customMarkFollows="0" w:id="2"/>
      </w:r>
      <w:r w:rsidDel="00000000" w:rsidR="00000000" w:rsidRPr="00000000">
        <w:rPr>
          <w:rFonts w:ascii="Proxima Nova" w:cs="Proxima Nova" w:eastAsia="Proxima Nova" w:hAnsi="Proxima Nova"/>
          <w:sz w:val="22"/>
          <w:szCs w:val="22"/>
          <w:rtl w:val="0"/>
        </w:rPr>
        <w:t xml:space="preserve"> generated by INAI, or the implementer's own system. 6. </w:t>
      </w:r>
      <w:r w:rsidDel="00000000" w:rsidR="00000000" w:rsidRPr="00000000">
        <w:rPr>
          <w:rFonts w:ascii="Proxima Nova" w:cs="Proxima Nova" w:eastAsia="Proxima Nova" w:hAnsi="Proxima Nova"/>
          <w:b w:val="1"/>
          <w:sz w:val="22"/>
          <w:szCs w:val="22"/>
          <w:rtl w:val="0"/>
        </w:rPr>
        <w:t xml:space="preserve">Capture and validate</w:t>
      </w:r>
      <w:r w:rsidDel="00000000" w:rsidR="00000000" w:rsidRPr="00000000">
        <w:rPr>
          <w:rFonts w:ascii="Proxima Nova" w:cs="Proxima Nova" w:eastAsia="Proxima Nova" w:hAnsi="Proxima Nova"/>
          <w:sz w:val="22"/>
          <w:szCs w:val="22"/>
          <w:rtl w:val="0"/>
        </w:rPr>
        <w:t xml:space="preserve"> the information to be published in open data. And 7. Promote the installation and participate in an </w:t>
      </w:r>
      <w:r w:rsidDel="00000000" w:rsidR="00000000" w:rsidRPr="00000000">
        <w:rPr>
          <w:rFonts w:ascii="Proxima Nova" w:cs="Proxima Nova" w:eastAsia="Proxima Nova" w:hAnsi="Proxima Nova"/>
          <w:b w:val="1"/>
          <w:sz w:val="22"/>
          <w:szCs w:val="22"/>
          <w:rtl w:val="0"/>
        </w:rPr>
        <w:t xml:space="preserve">Open Data State Network</w:t>
      </w:r>
      <w:r w:rsidDel="00000000" w:rsidR="00000000" w:rsidRPr="00000000">
        <w:rPr>
          <w:rFonts w:ascii="Proxima Nova" w:cs="Proxima Nova" w:eastAsia="Proxima Nova" w:hAnsi="Proxima Nova"/>
          <w:sz w:val="22"/>
          <w:szCs w:val="22"/>
          <w:rtl w:val="0"/>
        </w:rPr>
        <w:t xml:space="preserve"> of the corresponding state, integrated by the OGL, the implementing institutions, civil society, academia, the private sector, media, among others.</w:t>
      </w:r>
    </w:p>
    <w:p w:rsidR="00000000" w:rsidDel="00000000" w:rsidP="00000000" w:rsidRDefault="00000000" w:rsidRPr="00000000" w14:paraId="00000014">
      <w:pPr>
        <w:pageBreakBefore w:val="0"/>
        <w:spacing w:line="240" w:lineRule="auto"/>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5">
      <w:pPr>
        <w:pageBreakBefore w:val="0"/>
        <w:spacing w:line="240" w:lineRule="auto"/>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To this day, </w:t>
      </w:r>
      <w:r w:rsidDel="00000000" w:rsidR="00000000" w:rsidRPr="00000000">
        <w:rPr>
          <w:rFonts w:ascii="Proxima Nova" w:cs="Proxima Nova" w:eastAsia="Proxima Nova" w:hAnsi="Proxima Nova"/>
          <w:b w:val="1"/>
          <w:sz w:val="22"/>
          <w:szCs w:val="22"/>
          <w:rtl w:val="0"/>
        </w:rPr>
        <w:t xml:space="preserve">19</w:t>
      </w:r>
      <w:r w:rsidDel="00000000" w:rsidR="00000000" w:rsidRPr="00000000">
        <w:rPr>
          <w:rFonts w:ascii="Proxima Nova" w:cs="Proxima Nova" w:eastAsia="Proxima Nova" w:hAnsi="Proxima Nova"/>
          <w:b w:val="1"/>
          <w:sz w:val="22"/>
          <w:szCs w:val="22"/>
          <w:vertAlign w:val="superscript"/>
        </w:rPr>
        <w:footnoteReference w:customMarkFollows="0" w:id="3"/>
      </w:r>
      <w:r w:rsidDel="00000000" w:rsidR="00000000" w:rsidRPr="00000000">
        <w:rPr>
          <w:rFonts w:ascii="Proxima Nova" w:cs="Proxima Nova" w:eastAsia="Proxima Nova" w:hAnsi="Proxima Nova"/>
          <w:b w:val="1"/>
          <w:sz w:val="22"/>
          <w:szCs w:val="22"/>
          <w:rtl w:val="0"/>
        </w:rPr>
        <w:t xml:space="preserve"> OGLs (plus INAI)</w:t>
      </w:r>
      <w:r w:rsidDel="00000000" w:rsidR="00000000" w:rsidRPr="00000000">
        <w:rPr>
          <w:rFonts w:ascii="Proxima Nova" w:cs="Proxima Nova" w:eastAsia="Proxima Nova" w:hAnsi="Proxima Nova"/>
          <w:sz w:val="22"/>
          <w:szCs w:val="22"/>
          <w:rtl w:val="0"/>
        </w:rPr>
        <w:t xml:space="preserve"> have expressed their interest in implementing Open Contracting and </w:t>
      </w:r>
      <w:r w:rsidDel="00000000" w:rsidR="00000000" w:rsidRPr="00000000">
        <w:rPr>
          <w:rFonts w:ascii="Proxima Nova" w:cs="Proxima Nova" w:eastAsia="Proxima Nova" w:hAnsi="Proxima Nova"/>
          <w:b w:val="1"/>
          <w:sz w:val="22"/>
          <w:szCs w:val="22"/>
          <w:rtl w:val="0"/>
        </w:rPr>
        <w:t xml:space="preserve">11</w:t>
      </w:r>
      <w:r w:rsidDel="00000000" w:rsidR="00000000" w:rsidRPr="00000000">
        <w:rPr>
          <w:rFonts w:ascii="Proxima Nova" w:cs="Proxima Nova" w:eastAsia="Proxima Nova" w:hAnsi="Proxima Nova"/>
          <w:sz w:val="22"/>
          <w:szCs w:val="22"/>
          <w:rtl w:val="0"/>
        </w:rPr>
        <w:t xml:space="preserve"> of them have published their contracting procedures, which represents </w:t>
      </w:r>
      <w:r w:rsidDel="00000000" w:rsidR="00000000" w:rsidRPr="00000000">
        <w:rPr>
          <w:rFonts w:ascii="Proxima Nova" w:cs="Proxima Nova" w:eastAsia="Proxima Nova" w:hAnsi="Proxima Nova"/>
          <w:b w:val="1"/>
          <w:sz w:val="22"/>
          <w:szCs w:val="22"/>
          <w:rtl w:val="0"/>
        </w:rPr>
        <w:t xml:space="preserve">$1,047,392,319 MXN</w:t>
      </w:r>
      <w:r w:rsidDel="00000000" w:rsidR="00000000" w:rsidRPr="00000000">
        <w:rPr>
          <w:rFonts w:ascii="Proxima Nova" w:cs="Proxima Nova" w:eastAsia="Proxima Nova" w:hAnsi="Proxima Nova"/>
          <w:sz w:val="22"/>
          <w:szCs w:val="22"/>
          <w:rtl w:val="0"/>
        </w:rPr>
        <w:t xml:space="preserve"> made transparent, corresponding to public contracting in open data and structured in accordance with the Data Standard.</w:t>
      </w:r>
    </w:p>
    <w:p w:rsidR="00000000" w:rsidDel="00000000" w:rsidP="00000000" w:rsidRDefault="00000000" w:rsidRPr="00000000" w14:paraId="00000016">
      <w:pPr>
        <w:pageBreakBefore w:val="0"/>
        <w:spacing w:line="240" w:lineRule="auto"/>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7">
      <w:pPr>
        <w:pageBreakBefore w:val="0"/>
        <w:spacing w:line="240" w:lineRule="auto"/>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In addition, there are </w:t>
      </w:r>
      <w:r w:rsidDel="00000000" w:rsidR="00000000" w:rsidRPr="00000000">
        <w:rPr>
          <w:rFonts w:ascii="Proxima Nova" w:cs="Proxima Nova" w:eastAsia="Proxima Nova" w:hAnsi="Proxima Nova"/>
          <w:b w:val="1"/>
          <w:sz w:val="22"/>
          <w:szCs w:val="22"/>
          <w:rtl w:val="0"/>
        </w:rPr>
        <w:t xml:space="preserve">7</w:t>
      </w:r>
      <w:r w:rsidDel="00000000" w:rsidR="00000000" w:rsidRPr="00000000">
        <w:rPr>
          <w:rFonts w:ascii="Proxima Nova" w:cs="Proxima Nova" w:eastAsia="Proxima Nova" w:hAnsi="Proxima Nova"/>
          <w:b w:val="1"/>
          <w:sz w:val="22"/>
          <w:szCs w:val="22"/>
          <w:vertAlign w:val="superscript"/>
        </w:rPr>
        <w:footnoteReference w:customMarkFollows="0" w:id="4"/>
      </w:r>
      <w:r w:rsidDel="00000000" w:rsidR="00000000" w:rsidRPr="00000000">
        <w:rPr>
          <w:rFonts w:ascii="Proxima Nova" w:cs="Proxima Nova" w:eastAsia="Proxima Nova" w:hAnsi="Proxima Nova"/>
          <w:b w:val="1"/>
          <w:sz w:val="22"/>
          <w:szCs w:val="22"/>
          <w:rtl w:val="0"/>
        </w:rPr>
        <w:t xml:space="preserve"> obligated entities from other levels of government</w:t>
      </w:r>
      <w:r w:rsidDel="00000000" w:rsidR="00000000" w:rsidRPr="00000000">
        <w:rPr>
          <w:rFonts w:ascii="Proxima Nova" w:cs="Proxima Nova" w:eastAsia="Proxima Nova" w:hAnsi="Proxima Nova"/>
          <w:sz w:val="22"/>
          <w:szCs w:val="22"/>
          <w:rtl w:val="0"/>
        </w:rPr>
        <w:t xml:space="preserve">, which remain active and continue to carry out the activities planned to achieve the publication of their procurement procedures in open data in accordance with the Data Standard. </w:t>
      </w:r>
    </w:p>
    <w:p w:rsidR="00000000" w:rsidDel="00000000" w:rsidP="00000000" w:rsidRDefault="00000000" w:rsidRPr="00000000" w14:paraId="00000018">
      <w:pPr>
        <w:pageBreakBefore w:val="0"/>
        <w:spacing w:line="240" w:lineRule="auto"/>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9">
      <w:pPr>
        <w:pageBreakBefore w:val="0"/>
        <w:spacing w:line="240" w:lineRule="auto"/>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Finally, during 2022, 3 </w:t>
      </w:r>
      <w:r w:rsidDel="00000000" w:rsidR="00000000" w:rsidRPr="00000000">
        <w:rPr>
          <w:rFonts w:ascii="Proxima Nova" w:cs="Proxima Nova" w:eastAsia="Proxima Nova" w:hAnsi="Proxima Nova"/>
          <w:b w:val="1"/>
          <w:sz w:val="22"/>
          <w:szCs w:val="22"/>
          <w:rtl w:val="0"/>
        </w:rPr>
        <w:t xml:space="preserve">Open Data State Networks</w:t>
      </w:r>
      <w:r w:rsidDel="00000000" w:rsidR="00000000" w:rsidRPr="00000000">
        <w:rPr>
          <w:rFonts w:ascii="Proxima Nova" w:cs="Proxima Nova" w:eastAsia="Proxima Nova" w:hAnsi="Proxima Nova"/>
          <w:sz w:val="22"/>
          <w:szCs w:val="22"/>
          <w:vertAlign w:val="superscript"/>
        </w:rPr>
        <w:footnoteReference w:customMarkFollows="0" w:id="5"/>
      </w:r>
      <w:r w:rsidDel="00000000" w:rsidR="00000000" w:rsidRPr="00000000">
        <w:rPr>
          <w:rFonts w:ascii="Proxima Nova" w:cs="Proxima Nova" w:eastAsia="Proxima Nova" w:hAnsi="Proxima Nova"/>
          <w:sz w:val="22"/>
          <w:szCs w:val="22"/>
          <w:rtl w:val="0"/>
        </w:rPr>
        <w:t xml:space="preserve"> were installed.</w:t>
      </w:r>
      <w:r w:rsidDel="00000000" w:rsidR="00000000" w:rsidRPr="00000000">
        <w:rPr>
          <w:rtl w:val="0"/>
        </w:rPr>
      </w:r>
    </w:p>
    <w:p w:rsidR="00000000" w:rsidDel="00000000" w:rsidP="00000000" w:rsidRDefault="00000000" w:rsidRPr="00000000" w14:paraId="0000001A">
      <w:pPr>
        <w:pageBreakBefore w:val="0"/>
        <w:spacing w:line="240" w:lineRule="auto"/>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B">
      <w:pPr>
        <w:pStyle w:val="Heading3"/>
        <w:jc w:val="both"/>
        <w:rPr>
          <w:rFonts w:ascii="Proxima Nova" w:cs="Proxima Nova" w:eastAsia="Proxima Nova" w:hAnsi="Proxima Nova"/>
          <w:sz w:val="22"/>
          <w:szCs w:val="22"/>
        </w:rPr>
      </w:pPr>
      <w:bookmarkStart w:colFirst="0" w:colLast="0" w:name="_u8hsl8r79m9o" w:id="3"/>
      <w:bookmarkEnd w:id="3"/>
      <w:r w:rsidDel="00000000" w:rsidR="00000000" w:rsidRPr="00000000">
        <w:rPr>
          <w:rFonts w:ascii="Proxima Nova" w:cs="Proxima Nova" w:eastAsia="Proxima Nova" w:hAnsi="Proxima Nova"/>
          <w:sz w:val="22"/>
          <w:szCs w:val="22"/>
          <w:rtl w:val="0"/>
        </w:rPr>
        <w:t xml:space="preserve">4. Collaboration areas</w:t>
      </w:r>
    </w:p>
    <w:p w:rsidR="00000000" w:rsidDel="00000000" w:rsidP="00000000" w:rsidRDefault="00000000" w:rsidRPr="00000000" w14:paraId="0000001C">
      <w:pPr>
        <w:pageBreakBefore w:val="0"/>
        <w:spacing w:line="240" w:lineRule="auto"/>
        <w:jc w:val="both"/>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1D">
      <w:pPr>
        <w:ind w:left="0" w:firstLine="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The initiative is led by INAI, in collaboration with the OGLs and with the participation of civil society, academia, the private sector, the media and the community specialized in open data. </w:t>
      </w:r>
    </w:p>
    <w:p w:rsidR="00000000" w:rsidDel="00000000" w:rsidP="00000000" w:rsidRDefault="00000000" w:rsidRPr="00000000" w14:paraId="0000001E">
      <w:pPr>
        <w:ind w:left="0" w:firstLine="0"/>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F">
      <w:pPr>
        <w:ind w:left="0" w:firstLine="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Through dialogue and collaborative work with public and private organizations at national and international level, it is expected to form alliances to achieve agreement and harmonize norms, standards and strategies to strengthen transparency and allow a more comprehensive analysis of information in order to improve services and public infrastructure.</w:t>
      </w:r>
    </w:p>
    <w:p w:rsidR="00000000" w:rsidDel="00000000" w:rsidP="00000000" w:rsidRDefault="00000000" w:rsidRPr="00000000" w14:paraId="00000020">
      <w:pPr>
        <w:pageBreakBefore w:val="0"/>
        <w:spacing w:line="240" w:lineRule="auto"/>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1">
      <w:pPr>
        <w:pStyle w:val="Heading3"/>
        <w:jc w:val="both"/>
        <w:rPr>
          <w:rFonts w:ascii="Proxima Nova" w:cs="Proxima Nova" w:eastAsia="Proxima Nova" w:hAnsi="Proxima Nova"/>
          <w:sz w:val="22"/>
          <w:szCs w:val="22"/>
        </w:rPr>
      </w:pPr>
      <w:bookmarkStart w:colFirst="0" w:colLast="0" w:name="_y50sor9wklyy" w:id="4"/>
      <w:bookmarkEnd w:id="4"/>
      <w:r w:rsidDel="00000000" w:rsidR="00000000" w:rsidRPr="00000000">
        <w:rPr>
          <w:rFonts w:ascii="Proxima Nova" w:cs="Proxima Nova" w:eastAsia="Proxima Nova" w:hAnsi="Proxima Nova"/>
          <w:sz w:val="22"/>
          <w:szCs w:val="22"/>
          <w:rtl w:val="0"/>
        </w:rPr>
        <w:t xml:space="preserve">5. Further information and contact</w:t>
      </w:r>
    </w:p>
    <w:p w:rsidR="00000000" w:rsidDel="00000000" w:rsidP="00000000" w:rsidRDefault="00000000" w:rsidRPr="00000000" w14:paraId="00000022">
      <w:pPr>
        <w:pageBreakBefore w:val="0"/>
        <w:spacing w:line="240" w:lineRule="auto"/>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3">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To learn more about the Open Contracting initiative, visit the informative microsite at </w:t>
      </w:r>
      <w:r w:rsidDel="00000000" w:rsidR="00000000" w:rsidRPr="00000000">
        <w:rPr>
          <w:rFonts w:ascii="Proxima Nova" w:cs="Proxima Nova" w:eastAsia="Proxima Nova" w:hAnsi="Proxima Nova"/>
          <w:sz w:val="22"/>
          <w:szCs w:val="22"/>
          <w:u w:val="single"/>
          <w:rtl w:val="0"/>
        </w:rPr>
        <w:t xml:space="preserve">contratacionesabiertas.inai.org.mx</w:t>
      </w:r>
      <w:r w:rsidDel="00000000" w:rsidR="00000000" w:rsidRPr="00000000">
        <w:rPr>
          <w:rFonts w:ascii="Proxima Nova" w:cs="Proxima Nova" w:eastAsia="Proxima Nova" w:hAnsi="Proxima Nova"/>
          <w:sz w:val="22"/>
          <w:szCs w:val="22"/>
          <w:rtl w:val="0"/>
        </w:rPr>
        <w:t xml:space="preserve">, or write to </w:t>
      </w:r>
      <w:r w:rsidDel="00000000" w:rsidR="00000000" w:rsidRPr="00000000">
        <w:rPr>
          <w:rFonts w:ascii="Proxima Nova" w:cs="Proxima Nova" w:eastAsia="Proxima Nova" w:hAnsi="Proxima Nova"/>
          <w:sz w:val="22"/>
          <w:szCs w:val="22"/>
          <w:u w:val="single"/>
          <w:rtl w:val="0"/>
        </w:rPr>
        <w:t xml:space="preserve">contratacionesabiertas@inai.org.mx</w:t>
      </w:r>
      <w:r w:rsidDel="00000000" w:rsidR="00000000" w:rsidRPr="00000000">
        <w:rPr>
          <w:rFonts w:ascii="Proxima Nova" w:cs="Proxima Nova" w:eastAsia="Proxima Nova" w:hAnsi="Proxima Nova"/>
          <w:sz w:val="22"/>
          <w:szCs w:val="22"/>
          <w:rtl w:val="0"/>
        </w:rPr>
        <w:t xml:space="preserve">.</w:t>
      </w:r>
      <w:r w:rsidDel="00000000" w:rsidR="00000000" w:rsidRPr="00000000">
        <w:rPr>
          <w:rtl w:val="0"/>
        </w:rPr>
      </w:r>
    </w:p>
    <w:p w:rsidR="00000000" w:rsidDel="00000000" w:rsidP="00000000" w:rsidRDefault="00000000" w:rsidRPr="00000000" w14:paraId="00000024">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5">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6">
      <w:pPr>
        <w:jc w:val="both"/>
        <w:rPr>
          <w:rFonts w:ascii="Proxima Nova" w:cs="Proxima Nova" w:eastAsia="Proxima Nova" w:hAnsi="Proxima Nova"/>
        </w:rPr>
      </w:pPr>
      <w:r w:rsidDel="00000000" w:rsidR="00000000" w:rsidRPr="00000000">
        <w:rPr>
          <w:rtl w:val="0"/>
        </w:rPr>
      </w:r>
    </w:p>
    <w:sectPr>
      <w:headerReference r:id="rId7" w:type="default"/>
      <w:headerReference r:id="rId8" w:type="first"/>
      <w:headerReference r:id="rId9" w:type="even"/>
      <w:footerReference r:id="rId10" w:type="default"/>
      <w:pgSz w:h="16838" w:w="11906" w:orient="portrait"/>
      <w:pgMar w:bottom="1403.5039370078755" w:top="1417.3228346456694" w:left="1417.3228346456694" w:right="1417.322834645669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ageBreakBefore w:val="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-1085849</wp:posOffset>
          </wp:positionH>
          <wp:positionV relativeFrom="paragraph">
            <wp:posOffset>-116747</wp:posOffset>
          </wp:positionV>
          <wp:extent cx="7753697" cy="775370"/>
          <wp:effectExtent b="0" l="0" r="0" t="0"/>
          <wp:wrapNone/>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753697" cy="775370"/>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B">
      <w:pPr>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More information at </w:t>
      </w:r>
      <w:hyperlink r:id="rId1">
        <w:r w:rsidDel="00000000" w:rsidR="00000000" w:rsidRPr="00000000">
          <w:rPr>
            <w:color w:val="1155cc"/>
            <w:sz w:val="16"/>
            <w:szCs w:val="16"/>
            <w:u w:val="single"/>
            <w:rtl w:val="0"/>
          </w:rPr>
          <w:t xml:space="preserve">https://www.open-contracting.org/</w:t>
        </w:r>
      </w:hyperlink>
      <w:r w:rsidDel="00000000" w:rsidR="00000000" w:rsidRPr="00000000">
        <w:rPr>
          <w:sz w:val="16"/>
          <w:szCs w:val="16"/>
          <w:rtl w:val="0"/>
        </w:rPr>
        <w:t xml:space="preserve"> </w:t>
      </w:r>
    </w:p>
  </w:footnote>
  <w:footnote w:id="1">
    <w:p w:rsidR="00000000" w:rsidDel="00000000" w:rsidP="00000000" w:rsidRDefault="00000000" w:rsidRPr="00000000" w14:paraId="0000002C">
      <w:pPr>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Open Contracting Data Standard, available at: </w:t>
      </w:r>
      <w:hyperlink r:id="rId2">
        <w:r w:rsidDel="00000000" w:rsidR="00000000" w:rsidRPr="00000000">
          <w:rPr>
            <w:color w:val="1155cc"/>
            <w:sz w:val="16"/>
            <w:szCs w:val="16"/>
            <w:u w:val="single"/>
            <w:rtl w:val="0"/>
          </w:rPr>
          <w:t xml:space="preserve">https://standard.open-contracting.org/latest/en/</w:t>
        </w:r>
      </w:hyperlink>
      <w:r w:rsidDel="00000000" w:rsidR="00000000" w:rsidRPr="00000000">
        <w:rPr>
          <w:sz w:val="16"/>
          <w:szCs w:val="16"/>
          <w:rtl w:val="0"/>
        </w:rPr>
        <w:t xml:space="preserve"> </w:t>
      </w:r>
    </w:p>
  </w:footnote>
  <w:footnote w:id="2">
    <w:p w:rsidR="00000000" w:rsidDel="00000000" w:rsidP="00000000" w:rsidRDefault="00000000" w:rsidRPr="00000000" w14:paraId="0000002D">
      <w:pPr>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Tool repository: </w:t>
      </w:r>
      <w:hyperlink r:id="rId3">
        <w:r w:rsidDel="00000000" w:rsidR="00000000" w:rsidRPr="00000000">
          <w:rPr>
            <w:color w:val="1155cc"/>
            <w:sz w:val="16"/>
            <w:szCs w:val="16"/>
            <w:u w:val="single"/>
            <w:rtl w:val="0"/>
          </w:rPr>
          <w:t xml:space="preserve">https://github.com/datosabiertosmx/contrataciones-abiertas-infraestructura</w:t>
        </w:r>
      </w:hyperlink>
      <w:r w:rsidDel="00000000" w:rsidR="00000000" w:rsidRPr="00000000">
        <w:rPr>
          <w:sz w:val="16"/>
          <w:szCs w:val="16"/>
          <w:rtl w:val="0"/>
        </w:rPr>
        <w:t xml:space="preserve"> </w:t>
      </w:r>
    </w:p>
  </w:footnote>
  <w:footnote w:id="3">
    <w:p w:rsidR="00000000" w:rsidDel="00000000" w:rsidP="00000000" w:rsidRDefault="00000000" w:rsidRPr="00000000" w14:paraId="0000002E">
      <w:pP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Local Guarantor Organisms from the states of Aguascalientes, Chiapas, Chihuahua, Coahuila, Ciudad de México, Durango, State of Mexico, Guanajuato, Jalisco, Morelos, Nuevo León, Oaxaca, Puebla, Quintana Roo, San Luis Potosí, Sinaloa, Veracruz, Yucatán and Zacatecas.</w:t>
      </w:r>
    </w:p>
  </w:footnote>
  <w:footnote w:id="4">
    <w:p w:rsidR="00000000" w:rsidDel="00000000" w:rsidP="00000000" w:rsidRDefault="00000000" w:rsidRPr="00000000" w14:paraId="0000002F">
      <w:pP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Municipality of Guadalajara, Jalisco; Executive Secretary of the Anticorruption System of the State of Quintana Roo; Superior Auditing Organ of the State of Veracruz; Executive Secretary of the Anticorruption System of the State of Veracruz; Universidad Veracruzana; Municipality of Mérida, Yucatán; Secretary of the Comptroller General's Office of the Government of the State of Yucatán.</w:t>
      </w:r>
    </w:p>
  </w:footnote>
  <w:footnote w:id="5">
    <w:p w:rsidR="00000000" w:rsidDel="00000000" w:rsidP="00000000" w:rsidRDefault="00000000" w:rsidRPr="00000000" w14:paraId="00000030">
      <w:pPr>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State of Mexico, Veracruz and Yucatán.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mc:AlternateContent>
        <mc:Choice Requires="wpg">
          <w:drawing>
            <wp:anchor allowOverlap="1" behindDoc="1" distB="114300" distT="114300" distL="114300" distR="114300" hidden="0" layoutInCell="1" locked="0" relativeHeight="0" simplePos="0">
              <wp:simplePos x="0" y="0"/>
              <wp:positionH relativeFrom="page">
                <wp:posOffset>4650</wp:posOffset>
              </wp:positionH>
              <wp:positionV relativeFrom="page">
                <wp:posOffset>4650</wp:posOffset>
              </wp:positionV>
              <wp:extent cx="7772400" cy="819263"/>
              <wp:effectExtent b="0" l="0" r="0" t="0"/>
              <wp:wrapNone/>
              <wp:docPr id="1" name=""/>
              <a:graphic>
                <a:graphicData uri="http://schemas.microsoft.com/office/word/2010/wordprocessingShape">
                  <wps:wsp>
                    <wps:cNvSpPr/>
                    <wps:cNvPr id="2" name="Shape 2"/>
                    <wps:spPr>
                      <a:xfrm>
                        <a:off x="10425" y="-9150"/>
                        <a:ext cx="5248800" cy="660900"/>
                      </a:xfrm>
                      <a:prstGeom prst="rect">
                        <a:avLst/>
                      </a:prstGeom>
                      <a:solidFill>
                        <a:srgbClr val="43434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page">
                <wp:posOffset>4650</wp:posOffset>
              </wp:positionH>
              <wp:positionV relativeFrom="page">
                <wp:posOffset>4650</wp:posOffset>
              </wp:positionV>
              <wp:extent cx="7772400" cy="819263"/>
              <wp:effectExtent b="0" l="0" r="0" t="0"/>
              <wp:wrapNone/>
              <wp:docPr id="1"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7772400" cy="819263"/>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2081213</wp:posOffset>
          </wp:positionH>
          <wp:positionV relativeFrom="paragraph">
            <wp:posOffset>-283004</wp:posOffset>
          </wp:positionV>
          <wp:extent cx="1819358" cy="498158"/>
          <wp:effectExtent b="0" l="0" r="0" t="0"/>
          <wp:wrapNone/>
          <wp:docPr id="5" name="image7.png"/>
          <a:graphic>
            <a:graphicData uri="http://schemas.openxmlformats.org/drawingml/2006/picture">
              <pic:pic>
                <pic:nvPicPr>
                  <pic:cNvPr id="0" name="image7.png"/>
                  <pic:cNvPicPr preferRelativeResize="0"/>
                </pic:nvPicPr>
                <pic:blipFill>
                  <a:blip r:embed="rId2"/>
                  <a:srcRect b="0" l="0" r="0" t="0"/>
                  <a:stretch>
                    <a:fillRect/>
                  </a:stretch>
                </pic:blipFill>
                <pic:spPr>
                  <a:xfrm>
                    <a:off x="0" y="0"/>
                    <a:ext cx="1819358" cy="498158"/>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-647699</wp:posOffset>
          </wp:positionH>
          <wp:positionV relativeFrom="paragraph">
            <wp:posOffset>-230616</wp:posOffset>
          </wp:positionV>
          <wp:extent cx="800213" cy="393087"/>
          <wp:effectExtent b="0" l="0" r="0" t="0"/>
          <wp:wrapNone/>
          <wp:docPr id="6" name="image8.png"/>
          <a:graphic>
            <a:graphicData uri="http://schemas.openxmlformats.org/drawingml/2006/picture">
              <pic:pic>
                <pic:nvPicPr>
                  <pic:cNvPr id="0" name="image8.png"/>
                  <pic:cNvPicPr preferRelativeResize="0"/>
                </pic:nvPicPr>
                <pic:blipFill>
                  <a:blip r:embed="rId3"/>
                  <a:srcRect b="0" l="0" r="0" t="0"/>
                  <a:stretch>
                    <a:fillRect/>
                  </a:stretch>
                </pic:blipFill>
                <pic:spPr>
                  <a:xfrm>
                    <a:off x="0" y="0"/>
                    <a:ext cx="800213" cy="393087"/>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7772400" cy="10058400"/>
          <wp:effectExtent b="0" l="0" r="0" t="0"/>
          <wp:wrapNone/>
          <wp:docPr id="4" name="image5.jpg"/>
          <a:graphic>
            <a:graphicData uri="http://schemas.openxmlformats.org/drawingml/2006/picture">
              <pic:pic>
                <pic:nvPicPr>
                  <pic:cNvPr id="0" name="image5.jpg"/>
                  <pic:cNvPicPr preferRelativeResize="0"/>
                </pic:nvPicPr>
                <pic:blipFill>
                  <a:blip r:embed="rId1"/>
                  <a:srcRect b="0" l="0" r="0" t="0"/>
                  <a:stretch>
                    <a:fillRect/>
                  </a:stretch>
                </pic:blipFill>
                <pic:spPr>
                  <a:xfrm>
                    <a:off x="0" y="0"/>
                    <a:ext cx="7772400" cy="10058400"/>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7772400" cy="10058400"/>
          <wp:effectExtent b="0" l="0" r="0" t="0"/>
          <wp:wrapNone/>
          <wp:docPr id="3"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7772400" cy="100584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open-contracting.org/" TargetMode="External"/><Relationship Id="rId2" Type="http://schemas.openxmlformats.org/officeDocument/2006/relationships/hyperlink" Target="https://standard.open-contracting.org/latest/en/" TargetMode="External"/><Relationship Id="rId3" Type="http://schemas.openxmlformats.org/officeDocument/2006/relationships/hyperlink" Target="https://github.com/datosabiertosmx/contrataciones-abiertas-infraestructu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Relationship Id="rId3"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