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INFRAESTRUCTURA ABIERTA EN MÉXICO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Proxima Nova" w:cs="Proxima Nova" w:eastAsia="Proxima Nova" w:hAnsi="Proxima Nov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1"/>
        <w:keepLines w:val="1"/>
        <w:pageBreakBefore w:val="0"/>
        <w:spacing w:line="240" w:lineRule="auto"/>
        <w:ind w:left="0" w:firstLine="0"/>
        <w:jc w:val="both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rzuk4spcr0kf" w:id="0"/>
      <w:bookmarkEnd w:id="0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1. 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 partir de buenas prácticas reconocidas en </w:t>
      </w:r>
      <w:hyperlink r:id="rId7">
        <w:r w:rsidDel="00000000" w:rsidR="00000000" w:rsidRPr="00000000">
          <w:rPr>
            <w:rFonts w:ascii="Proxima Nova" w:cs="Proxima Nova" w:eastAsia="Proxima Nova" w:hAnsi="Proxima Nova"/>
            <w:sz w:val="22"/>
            <w:szCs w:val="22"/>
            <w:rtl w:val="0"/>
          </w:rPr>
          <w:t xml:space="preserve">el estado de </w:t>
        </w:r>
      </w:hyperlink>
      <w:hyperlink r:id="rId8">
        <w:r w:rsidDel="00000000" w:rsidR="00000000" w:rsidRPr="00000000">
          <w:rPr>
            <w:rFonts w:ascii="Proxima Nova" w:cs="Proxima Nova" w:eastAsia="Proxima Nova" w:hAnsi="Proxima Nova"/>
            <w:sz w:val="22"/>
            <w:szCs w:val="22"/>
            <w:rtl w:val="0"/>
          </w:rPr>
          <w:t xml:space="preserve">Nuevo León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México,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se impulsa el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Reto de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Apertura: Infraestructura Abierta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en su modalidad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proyecto piloto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diri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gido a los tres órdenes de gobierno en México, para promover la adopción de los estándares </w:t>
      </w:r>
      <w:hyperlink r:id="rId9">
        <w:r w:rsidDel="00000000" w:rsidR="00000000" w:rsidRPr="00000000">
          <w:rPr>
            <w:rFonts w:ascii="Proxima Nova" w:cs="Proxima Nova" w:eastAsia="Proxima Nova" w:hAnsi="Proxima Nova"/>
            <w:sz w:val="22"/>
            <w:szCs w:val="22"/>
            <w:u w:val="single"/>
            <w:rtl w:val="0"/>
          </w:rPr>
          <w:t xml:space="preserve">EDCA-MX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y </w:t>
      </w:r>
      <w:hyperlink r:id="rId10">
        <w:r w:rsidDel="00000000" w:rsidR="00000000" w:rsidRPr="00000000">
          <w:rPr>
            <w:rFonts w:ascii="Proxima Nova" w:cs="Proxima Nova" w:eastAsia="Proxima Nova" w:hAnsi="Proxima Nova"/>
            <w:sz w:val="22"/>
            <w:szCs w:val="22"/>
            <w:u w:val="single"/>
            <w:rtl w:val="0"/>
          </w:rPr>
          <w:t xml:space="preserve">EDCAPI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en materia de proyectos de infraestructura y contrataciones relacionadas.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1"/>
        <w:keepLines w:val="1"/>
        <w:jc w:val="both"/>
        <w:rPr>
          <w:rFonts w:ascii="Proxima Nova" w:cs="Proxima Nova" w:eastAsia="Proxima Nova" w:hAnsi="Proxima Nova"/>
          <w:sz w:val="12"/>
          <w:szCs w:val="12"/>
        </w:rPr>
      </w:pPr>
      <w:bookmarkStart w:colFirst="0" w:colLast="0" w:name="_v1ad6terlv2t" w:id="1"/>
      <w:bookmarkEnd w:id="1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2.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8" w:right="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Generar y publicar información en formatos estructurados, abiertos y accesibles de todo el ciclo de contratación pública, de conformidad con el EDCA-MX y EDCAPI.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8" w:right="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Promover la participación ciudadana y la vigilancia de las instituciones públicas para monitorear el ejercicio de los recursos públicos.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8" w:right="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Incrementar la eficiencia y eficacia de la gestión pública para mejorar la calidad y precio de los bienes, servicios y obras contratados.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1"/>
        <w:keepLines w:val="1"/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yv1wlqf1o258" w:id="2"/>
      <w:bookmarkEnd w:id="2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 Estrategia de trabajo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febrero de 2022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el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Consejo Impulsor (CI)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emitió una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convocatoria en el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marco del </w:t>
      </w:r>
      <w:hyperlink r:id="rId11">
        <w:r w:rsidDel="00000000" w:rsidR="00000000" w:rsidRPr="00000000">
          <w:rPr>
            <w:rFonts w:ascii="Proxima Nova" w:cs="Proxima Nova" w:eastAsia="Proxima Nova" w:hAnsi="Proxima Nova"/>
            <w:sz w:val="22"/>
            <w:szCs w:val="22"/>
            <w:rtl w:val="0"/>
          </w:rPr>
          <w:t xml:space="preserve">Sistema Nacional de Transparencia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(SNT). Como resultado, participan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23 sujetos obligados de 9 entidades federativas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Baja California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 Gobierno del Estado, Municipios de Tecate y Tijuana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Chiapas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 Municipios de Tapachula y Tuxtla Gutiérrez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Chihuahua: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Municipio de Chihuahua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Ciudad de México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 Alcaldía Miguel Hidalgo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Jalisco: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Municipio de Tamazula de Gordiano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Michoacán: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Municipio de Vista Hermosa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Nuevo León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 Gobierno del Estado, Municipios de Apodaca, García, General Escobedo, Guadalupe, Juárez, Monterrey, Santiago, San Pedro Garza García y la Universidad Autónoma de Nuevo León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Oaxaca: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Caminos Bienestar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Yucatán: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Municipios de Mérida, Progreso y Umán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u w:val="single"/>
          <w:rtl w:val="0"/>
        </w:rPr>
        <w:t xml:space="preserve">Desarrollo de los trabajos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u w:val="single"/>
          <w:rtl w:val="0"/>
        </w:rPr>
        <w:t xml:space="preserve">:</w:t>
      </w:r>
      <w:r w:rsidDel="00000000" w:rsidR="00000000" w:rsidRPr="00000000">
        <w:rPr>
          <w:rFonts w:ascii="Proxima Nova" w:cs="Proxima Nova" w:eastAsia="Proxima Nova" w:hAnsi="Proxima Nova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Para participar, cada implementador realiza los siguientes pasos: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Expresar el interés de adherirse a la iniciativa.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Instalar las Redes Estatales de Datos Abiertos (REDA)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mecanismos locales de colaboración responsables de elaborar y aprobar el Programa de trabajo, las cuales son integradas por los Organismos Garantes Locales, las instituciones implementadoras, sociedad civil, academia, el sector privado, medios de comunicación, entre otros.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Elaborar un Programa de trabajo de la REDA.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Elaborar un Compromiso de publicación para conocer qué contenidos se van a publicar el periodo que abarca la información y la periodicidad de actualización de la misma.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Identificar dónde se encuentra almacenada la información que se va a publicar y relacionar los datos con el EDCA-MX y EDCAPI;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Generar una Política de publicación, que servirá como guía de lo que se va a publicar; Capturar los datos y documentos en un sistema proporcionado por el CI, y validar la información para publicarse en datos abiertos.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Realizar la presentación pública de la Plataforma Nacional de Infraestructura Abierta que es un visualizador de los datos abiertos capturados por los implementadores, y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Realizar la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Presentación de resultados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esto en un evento público donde se reconozca la adopción de buenas prácticas y la generación de capacidades técnicas  para el aprovechamiento de los datos abiertos generados en el marco de la iniciativa.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b w:val="1"/>
          <w:sz w:val="8"/>
          <w:szCs w:val="8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Actualmente, la iniciativa se encuentra en la etapa de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Revisión y validación de datos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de 13 implementadores provenientes de 8 entidades federativas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los cuales, concluyeron la captura de datos y documentos en el sistema que se les proporcionó, mismo que permitió la generación de archivos JSON que son remitidos a OCP para su retroalimentación y, en su caso, validación.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roxima Nova" w:cs="Proxima Nova" w:eastAsia="Proxima Nova" w:hAnsi="Proxima Nova"/>
          <w:sz w:val="12"/>
          <w:szCs w:val="12"/>
        </w:rPr>
      </w:pPr>
      <w:bookmarkStart w:colFirst="0" w:colLast="0" w:name="_nokt9p7tu0w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4. Áreas de colaboración</w:t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Es fundamental la participación e involucramiento del sector privado, académico y de la sociedad civil, durante el desarrollo de las actividades de la iniciativa y para el aprovechamiento de los datos abiertos generados. </w:t>
      </w:r>
    </w:p>
    <w:p w:rsidR="00000000" w:rsidDel="00000000" w:rsidP="00000000" w:rsidRDefault="00000000" w:rsidRPr="00000000" w14:paraId="0000002B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Al respecto, organizaciones nacionales o internacionales, podrían sumarse para contribuir a la generación de capacidades, brindar apoyo técnico o mejorar la infraestructura tecnológica con la que se cuenta,  para lograr una mayor alcance e impacto de la apertura de datos.</w:t>
      </w:r>
    </w:p>
    <w:p w:rsidR="00000000" w:rsidDel="00000000" w:rsidP="00000000" w:rsidRDefault="00000000" w:rsidRPr="00000000" w14:paraId="0000002D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5. Más información y contacto</w:t>
      </w:r>
    </w:p>
    <w:p w:rsidR="00000000" w:rsidDel="00000000" w:rsidP="00000000" w:rsidRDefault="00000000" w:rsidRPr="00000000" w14:paraId="00000030">
      <w:pPr>
        <w:rPr>
          <w:rFonts w:ascii="Proxima Nova" w:cs="Proxima Nova" w:eastAsia="Proxima Nova" w:hAnsi="Proxima Nov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Toda la informacióny contacto en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el sitio público </w:t>
      </w: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sz w:val="22"/>
            <w:szCs w:val="22"/>
            <w:u w:val="single"/>
            <w:rtl w:val="0"/>
          </w:rPr>
          <w:t xml:space="preserve">www.infraestructuraabierta.mx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pgSz w:h="16838" w:w="11906" w:orient="portrait"/>
      <w:pgMar w:bottom="1403.5039370078755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6">
      <w:pPr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</w:t>
        </w:r>
      </w:hyperlink>
      <w:hyperlink r:id="rId2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Estándar de Datos de Contrataciones Abiertas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 (OCDS, en inglés)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7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 </w:t>
      </w:r>
      <w:hyperlink r:id="rId3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Estándar de Datos de Contrataciones Abiertas para Infraestructura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 (OC4IDS, en inglés).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8">
      <w:pPr>
        <w:jc w:val="both"/>
        <w:rPr>
          <w:rFonts w:ascii="Proxima Nova" w:cs="Proxima Nova" w:eastAsia="Proxima Nova" w:hAnsi="Proxima Nova"/>
          <w:color w:val="434343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Integrado</w:t>
      </w:r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por el </w:t>
      </w:r>
      <w:hyperlink r:id="rId4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INAI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, </w:t>
      </w:r>
      <w:hyperlink r:id="rId5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México Evalúa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,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Open Contracting Partnership (OCP)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,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Infrastructure Transparency Initiative (CoST)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, el (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Instituto Estatal de Transparencia, Acceso a la Información y Protección de Datos Personales (INFONL)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) y el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SNT</w:t>
        </w:r>
      </w:hyperlink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98.3937007874016pt;height:847.0361095391396pt;rotation:0;z-index:-503316481;mso-position-horizontal-relative:margin;mso-position-horizontal:absolute;margin-left:-72.0pt;mso-position-vertical-relative:margin;mso-position-vertical:absolute;margin-top:-73.13385826771653pt;" alt="" type="#_x0000_t75">
          <v:imagedata cropbottom="0f" cropleft="895f" cropright="871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nt.org.mx/" TargetMode="External"/><Relationship Id="rId10" Type="http://schemas.openxmlformats.org/officeDocument/2006/relationships/hyperlink" Target="https://standard.open-contracting.org/infrastructure/latest/es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infraestructuraabierta.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andard.open-contracting.org/latest/es/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si.nl.gob.mx/transparencia/" TargetMode="External"/><Relationship Id="rId8" Type="http://schemas.openxmlformats.org/officeDocument/2006/relationships/hyperlink" Target="http://si.nl.gob.mx/transparenc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standard.open-contracting.org/latest/es/" TargetMode="External"/><Relationship Id="rId2" Type="http://schemas.openxmlformats.org/officeDocument/2006/relationships/hyperlink" Target="https://standard.open-contracting.org/latest/es/" TargetMode="External"/><Relationship Id="rId3" Type="http://schemas.openxmlformats.org/officeDocument/2006/relationships/hyperlink" Target="https://standard.open-contracting.org/infrastructure/latest/es/" TargetMode="External"/><Relationship Id="rId4" Type="http://schemas.openxmlformats.org/officeDocument/2006/relationships/hyperlink" Target="https://home.inai.org.mx/" TargetMode="External"/><Relationship Id="rId9" Type="http://schemas.openxmlformats.org/officeDocument/2006/relationships/hyperlink" Target="https://snt.org.mx/" TargetMode="External"/><Relationship Id="rId5" Type="http://schemas.openxmlformats.org/officeDocument/2006/relationships/hyperlink" Target="https://www.mexicoevalua.org/" TargetMode="External"/><Relationship Id="rId6" Type="http://schemas.openxmlformats.org/officeDocument/2006/relationships/hyperlink" Target="https://www.open-contracting.org/es/" TargetMode="External"/><Relationship Id="rId7" Type="http://schemas.openxmlformats.org/officeDocument/2006/relationships/hyperlink" Target="https://infrastructuretransparency.org/" TargetMode="External"/><Relationship Id="rId8" Type="http://schemas.openxmlformats.org/officeDocument/2006/relationships/hyperlink" Target="https://infonl.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