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76" w:lineRule="auto"/>
        <w:jc w:val="center"/>
        <w:rPr>
          <w:rFonts w:ascii="Montserrat" w:cs="Montserrat" w:eastAsia="Montserrat" w:hAnsi="Montserrat"/>
          <w:b w:val="1"/>
          <w:color w:val="5041ac"/>
          <w:sz w:val="22"/>
          <w:szCs w:val="22"/>
        </w:rPr>
      </w:pPr>
      <w:r w:rsidDel="00000000" w:rsidR="00000000" w:rsidRPr="00000000">
        <w:rPr>
          <w:rFonts w:ascii="Arial" w:cs="Arial" w:eastAsia="Arial" w:hAnsi="Arial"/>
          <w:b w:val="1"/>
          <w:color w:val="5041ac"/>
          <w:sz w:val="36"/>
          <w:szCs w:val="36"/>
          <w:rtl w:val="0"/>
        </w:rPr>
        <w:t xml:space="preserve">NATIONAL OPEN DATA POLICY</w:t>
      </w:r>
      <w:r w:rsidDel="00000000" w:rsidR="00000000" w:rsidRPr="00000000">
        <w:rPr>
          <w:rtl w:val="0"/>
        </w:rPr>
      </w:r>
    </w:p>
    <w:p w:rsidR="00000000" w:rsidDel="00000000" w:rsidP="00000000" w:rsidRDefault="00000000" w:rsidRPr="00000000" w14:paraId="00000002">
      <w:pPr>
        <w:numPr>
          <w:ilvl w:val="0"/>
          <w:numId w:val="1"/>
        </w:numPr>
        <w:spacing w:before="240" w:line="240" w:lineRule="auto"/>
        <w:ind w:left="720" w:hanging="36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Introduction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color w:val="5041ac"/>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2022, </w:t>
      </w:r>
      <w:hyperlink r:id="rId6">
        <w:r w:rsidDel="00000000" w:rsidR="00000000" w:rsidRPr="00000000">
          <w:rPr>
            <w:rFonts w:ascii="Montserrat" w:cs="Montserrat" w:eastAsia="Montserrat" w:hAnsi="Montserrat"/>
            <w:color w:val="1155cc"/>
            <w:sz w:val="22"/>
            <w:szCs w:val="22"/>
            <w:u w:val="single"/>
            <w:rtl w:val="0"/>
          </w:rPr>
          <w:t xml:space="preserve">INAI</w:t>
        </w:r>
      </w:hyperlink>
      <w:r w:rsidDel="00000000" w:rsidR="00000000" w:rsidRPr="00000000">
        <w:rPr>
          <w:rFonts w:ascii="Montserrat" w:cs="Montserrat" w:eastAsia="Montserrat" w:hAnsi="Montserrat"/>
          <w:sz w:val="22"/>
          <w:szCs w:val="22"/>
          <w:rtl w:val="0"/>
        </w:rPr>
        <w:t xml:space="preserve"> together with other institutions, announced the establishment of the Open Mexico (Abramos México) strategy, which includes a set of actions aimed at ensuring that the Mexican State has a </w:t>
      </w:r>
      <w:r w:rsidDel="00000000" w:rsidR="00000000" w:rsidRPr="00000000">
        <w:rPr>
          <w:rFonts w:ascii="Montserrat" w:cs="Montserrat" w:eastAsia="Montserrat" w:hAnsi="Montserrat"/>
          <w:b w:val="1"/>
          <w:sz w:val="22"/>
          <w:szCs w:val="22"/>
          <w:rtl w:val="0"/>
        </w:rPr>
        <w:t xml:space="preserve">National Open Data Policy</w:t>
      </w:r>
      <w:r w:rsidDel="00000000" w:rsidR="00000000" w:rsidRPr="00000000">
        <w:rPr>
          <w:rFonts w:ascii="Montserrat" w:cs="Montserrat" w:eastAsia="Montserrat" w:hAnsi="Montserrat"/>
          <w:sz w:val="22"/>
          <w:szCs w:val="22"/>
          <w:rtl w:val="0"/>
        </w:rPr>
        <w:t xml:space="preserve">, which is applicable and progressively implemented in the three branches and orders of government.</w:t>
      </w:r>
    </w:p>
    <w:p w:rsidR="00000000" w:rsidDel="00000000" w:rsidP="00000000" w:rsidRDefault="00000000" w:rsidRPr="00000000" w14:paraId="00000005">
      <w:pPr>
        <w:numPr>
          <w:ilvl w:val="0"/>
          <w:numId w:val="1"/>
        </w:numPr>
        <w:spacing w:before="240" w:line="240" w:lineRule="auto"/>
        <w:ind w:left="720" w:hanging="36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Objectives</w:t>
      </w:r>
      <w:r w:rsidDel="00000000" w:rsidR="00000000" w:rsidRPr="00000000">
        <w:rPr>
          <w:rtl w:val="0"/>
        </w:rPr>
      </w:r>
    </w:p>
    <w:p w:rsidR="00000000" w:rsidDel="00000000" w:rsidP="00000000" w:rsidRDefault="00000000" w:rsidRPr="00000000" w14:paraId="00000006">
      <w:pPr>
        <w:spacing w:before="240" w:line="240" w:lineRule="auto"/>
        <w:rPr>
          <w:rFonts w:ascii="Montserrat" w:cs="Montserrat" w:eastAsia="Montserrat" w:hAnsi="Montserrat"/>
          <w:b w:val="1"/>
          <w:color w:val="5041ac"/>
          <w:sz w:val="22"/>
          <w:szCs w:val="22"/>
        </w:rPr>
      </w:pPr>
      <w:r w:rsidDel="00000000" w:rsidR="00000000" w:rsidRPr="00000000">
        <w:rPr>
          <w:rFonts w:ascii="Montserrat" w:cs="Montserrat" w:eastAsia="Montserrat" w:hAnsi="Montserrat"/>
          <w:sz w:val="22"/>
          <w:szCs w:val="22"/>
          <w:rtl w:val="0"/>
        </w:rPr>
        <w:t xml:space="preserve">The National Open Data Policy will be a document that includes -among other elements- a diagnosis, identified problems, solution alternatives, objectives, cross-cutting axes, potential populations, as well as those responsible and relevant sectors for the opening of data. This document will guide the guarantor agencies and institutions so that, according to their context, they can advance in the development of the open data agenda. </w:t>
      </w:r>
      <w:r w:rsidDel="00000000" w:rsidR="00000000" w:rsidRPr="00000000">
        <w:rPr>
          <w:rtl w:val="0"/>
        </w:rPr>
      </w:r>
    </w:p>
    <w:p w:rsidR="00000000" w:rsidDel="00000000" w:rsidP="00000000" w:rsidRDefault="00000000" w:rsidRPr="00000000" w14:paraId="00000007">
      <w:pPr>
        <w:numPr>
          <w:ilvl w:val="0"/>
          <w:numId w:val="1"/>
        </w:numPr>
        <w:spacing w:before="240" w:line="240" w:lineRule="auto"/>
        <w:ind w:left="720" w:hanging="36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Work strategy</w:t>
      </w:r>
      <w:r w:rsidDel="00000000" w:rsidR="00000000" w:rsidRPr="00000000">
        <w:rPr>
          <w:rtl w:val="0"/>
        </w:rPr>
      </w:r>
    </w:p>
    <w:p w:rsidR="00000000" w:rsidDel="00000000" w:rsidP="00000000" w:rsidRDefault="00000000" w:rsidRPr="00000000" w14:paraId="00000008">
      <w:pPr>
        <w:spacing w:before="240" w:line="24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Open Mexico strategy foresees the existence of several working groups to build the National Open Data Policy (PNDA). The first, a Driving Group, in charge of leading and defining the strategy in general; a Technical Group in charge of implementing the strategy; and a Specialized Group, which was integrated in thematic tables of national and international experts during the National Open Data Conference 2022 (a meeting of the open data community, held every year in Mexico).</w:t>
      </w:r>
    </w:p>
    <w:p w:rsidR="00000000" w:rsidDel="00000000" w:rsidP="00000000" w:rsidRDefault="00000000" w:rsidRPr="00000000" w14:paraId="00000009">
      <w:pPr>
        <w:spacing w:before="0" w:line="24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addition, a construction process has been defined that includes collaborative schemes based on transparency, participation and innovation, structured in three stages:</w:t>
      </w:r>
    </w:p>
    <w:p w:rsidR="00000000" w:rsidDel="00000000" w:rsidP="00000000" w:rsidRDefault="00000000" w:rsidRPr="00000000" w14:paraId="0000000A">
      <w:pPr>
        <w:spacing w:before="0" w:line="240" w:lineRule="auto"/>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B">
      <w:pPr>
        <w:spacing w:before="0" w:line="240" w:lineRule="auto"/>
        <w:rPr>
          <w:rFonts w:ascii="Montserrat" w:cs="Montserrat" w:eastAsia="Montserrat" w:hAnsi="Montserrat"/>
          <w:sz w:val="22"/>
          <w:szCs w:val="22"/>
        </w:rPr>
      </w:pPr>
      <w:r w:rsidDel="00000000" w:rsidR="00000000" w:rsidRPr="00000000">
        <w:rPr>
          <w:rtl w:val="0"/>
        </w:rPr>
      </w:r>
    </w:p>
    <w:tbl>
      <w:tblPr>
        <w:tblStyle w:val="Table1"/>
        <w:tblW w:w="8115.0" w:type="dxa"/>
        <w:jc w:val="left"/>
        <w:tblInd w:w="4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0"/>
        <w:gridCol w:w="6825"/>
        <w:tblGridChange w:id="0">
          <w:tblGrid>
            <w:gridCol w:w="1290"/>
            <w:gridCol w:w="6825"/>
          </w:tblGrid>
        </w:tblGridChange>
      </w:tblGrid>
      <w:tr>
        <w:trPr>
          <w:cantSplit w:val="0"/>
          <w:trHeight w:val="1185" w:hRule="atLeast"/>
          <w:tblHeader w:val="0"/>
        </w:trPr>
        <w:tc>
          <w:tcPr>
            <w:vMerge w:val="restart"/>
            <w:tcBorders>
              <w:top w:color="000000" w:space="0" w:sz="4" w:val="single"/>
              <w:left w:color="000000" w:space="0" w:sz="4" w:val="single"/>
              <w:bottom w:color="000000" w:space="0" w:sz="4" w:val="single"/>
              <w:right w:color="000000" w:space="0" w:sz="4" w:val="single"/>
            </w:tcBorders>
            <w:shd w:fill="5041ac" w:val="clear"/>
            <w:tcMar>
              <w:top w:w="100.0" w:type="dxa"/>
              <w:left w:w="100.0" w:type="dxa"/>
              <w:bottom w:w="100.0" w:type="dxa"/>
              <w:right w:w="100.0" w:type="dxa"/>
            </w:tcMar>
            <w:vAlign w:val="top"/>
          </w:tcPr>
          <w:p w:rsidR="00000000" w:rsidDel="00000000" w:rsidP="00000000" w:rsidRDefault="00000000" w:rsidRPr="00000000" w14:paraId="0000000C">
            <w:pPr>
              <w:spacing w:after="240" w:before="0" w:line="240" w:lineRule="auto"/>
              <w:jc w:val="center"/>
              <w:rPr>
                <w:rFonts w:ascii="Montserrat" w:cs="Montserrat" w:eastAsia="Montserrat" w:hAnsi="Montserrat"/>
                <w:b w:val="1"/>
                <w:color w:val="ffffff"/>
                <w:sz w:val="22"/>
                <w:szCs w:val="22"/>
              </w:rPr>
            </w:pPr>
            <w:r w:rsidDel="00000000" w:rsidR="00000000" w:rsidRPr="00000000">
              <w:rPr>
                <w:rFonts w:ascii="Montserrat" w:cs="Montserrat" w:eastAsia="Montserrat" w:hAnsi="Montserrat"/>
                <w:b w:val="1"/>
                <w:color w:val="ffffff"/>
                <w:sz w:val="22"/>
                <w:szCs w:val="22"/>
                <w:rtl w:val="0"/>
              </w:rPr>
              <w:t xml:space="preserve">STAGES</w:t>
            </w:r>
          </w:p>
        </w:tc>
        <w:tc>
          <w:tcPr>
            <w:tcBorders>
              <w:top w:color="000000" w:space="0" w:sz="4" w:val="single"/>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D">
            <w:pPr>
              <w:spacing w:after="240" w:before="0" w:line="240" w:lineRule="auto"/>
              <w:jc w:val="left"/>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1: Preparation and opening</w:t>
            </w:r>
          </w:p>
          <w:p w:rsidR="00000000" w:rsidDel="00000000" w:rsidP="00000000" w:rsidRDefault="00000000" w:rsidRPr="00000000" w14:paraId="0000000E">
            <w:pPr>
              <w:numPr>
                <w:ilvl w:val="0"/>
                <w:numId w:val="2"/>
              </w:numPr>
              <w:spacing w:after="0" w:before="0" w:line="240" w:lineRule="auto"/>
              <w:ind w:left="720" w:hanging="360"/>
              <w:jc w:val="lef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Installation of the Driving Group</w:t>
            </w:r>
          </w:p>
          <w:p w:rsidR="00000000" w:rsidDel="00000000" w:rsidP="00000000" w:rsidRDefault="00000000" w:rsidRPr="00000000" w14:paraId="0000000F">
            <w:pPr>
              <w:numPr>
                <w:ilvl w:val="0"/>
                <w:numId w:val="2"/>
              </w:numPr>
              <w:spacing w:after="0" w:before="0" w:line="240" w:lineRule="auto"/>
              <w:ind w:left="720" w:hanging="360"/>
              <w:jc w:val="lef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Construction of base documents</w:t>
            </w:r>
            <w:r w:rsidDel="00000000" w:rsidR="00000000" w:rsidRPr="00000000">
              <w:rPr>
                <w:rtl w:val="0"/>
              </w:rPr>
            </w:r>
          </w:p>
        </w:tc>
      </w:tr>
      <w:tr>
        <w:trPr>
          <w:cantSplit w:val="0"/>
          <w:trHeight w:val="4665" w:hRule="atLeast"/>
          <w:tblHeader w:val="0"/>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rFonts w:ascii="Montserrat" w:cs="Montserrat" w:eastAsia="Montserrat" w:hAnsi="Montserrat"/>
                <w:b w:val="1"/>
                <w:color w:val="5041ac"/>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before="0" w:line="240"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2: Work development</w:t>
            </w:r>
          </w:p>
          <w:p w:rsidR="00000000" w:rsidDel="00000000" w:rsidP="00000000" w:rsidRDefault="00000000" w:rsidRPr="00000000" w14:paraId="00000012">
            <w:pPr>
              <w:spacing w:before="0" w:line="240"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3">
            <w:pPr>
              <w:numPr>
                <w:ilvl w:val="0"/>
                <w:numId w:val="3"/>
              </w:numPr>
              <w:spacing w:before="0"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Creation of the Technical Group</w:t>
            </w:r>
          </w:p>
          <w:p w:rsidR="00000000" w:rsidDel="00000000" w:rsidP="00000000" w:rsidRDefault="00000000" w:rsidRPr="00000000" w14:paraId="00000014">
            <w:pPr>
              <w:numPr>
                <w:ilvl w:val="0"/>
                <w:numId w:val="3"/>
              </w:numPr>
              <w:spacing w:after="0" w:before="0"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Elaboration of the first draft of the PNDA</w:t>
            </w:r>
          </w:p>
          <w:p w:rsidR="00000000" w:rsidDel="00000000" w:rsidP="00000000" w:rsidRDefault="00000000" w:rsidRPr="00000000" w14:paraId="00000015">
            <w:pPr>
              <w:numPr>
                <w:ilvl w:val="0"/>
                <w:numId w:val="3"/>
              </w:numPr>
              <w:spacing w:after="0" w:before="0"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Dialogue tables of the Specialized Group at the National Conference on Open Data 2022</w:t>
            </w:r>
          </w:p>
          <w:p w:rsidR="00000000" w:rsidDel="00000000" w:rsidP="00000000" w:rsidRDefault="00000000" w:rsidRPr="00000000" w14:paraId="00000016">
            <w:pPr>
              <w:numPr>
                <w:ilvl w:val="0"/>
                <w:numId w:val="3"/>
              </w:numPr>
              <w:spacing w:after="0" w:before="0"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Elaboration of the first draft of the PNDA</w:t>
            </w:r>
          </w:p>
          <w:p w:rsidR="00000000" w:rsidDel="00000000" w:rsidP="00000000" w:rsidRDefault="00000000" w:rsidRPr="00000000" w14:paraId="00000017">
            <w:pPr>
              <w:numPr>
                <w:ilvl w:val="0"/>
                <w:numId w:val="3"/>
              </w:numPr>
              <w:spacing w:after="0" w:before="0"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Open data dialogue tables at the National Transparency Week</w:t>
            </w:r>
          </w:p>
          <w:p w:rsidR="00000000" w:rsidDel="00000000" w:rsidP="00000000" w:rsidRDefault="00000000" w:rsidRPr="00000000" w14:paraId="00000018">
            <w:pPr>
              <w:numPr>
                <w:ilvl w:val="0"/>
                <w:numId w:val="3"/>
              </w:numPr>
              <w:spacing w:after="0" w:before="0"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Regional Forums in the states of the country</w:t>
            </w:r>
          </w:p>
          <w:p w:rsidR="00000000" w:rsidDel="00000000" w:rsidP="00000000" w:rsidRDefault="00000000" w:rsidRPr="00000000" w14:paraId="00000019">
            <w:pPr>
              <w:numPr>
                <w:ilvl w:val="0"/>
                <w:numId w:val="3"/>
              </w:numPr>
              <w:spacing w:after="0" w:before="0"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Elaboration of the third draft of the PNDA</w:t>
            </w:r>
          </w:p>
          <w:p w:rsidR="00000000" w:rsidDel="00000000" w:rsidP="00000000" w:rsidRDefault="00000000" w:rsidRPr="00000000" w14:paraId="0000001A">
            <w:pPr>
              <w:numPr>
                <w:ilvl w:val="0"/>
                <w:numId w:val="3"/>
              </w:numPr>
              <w:spacing w:after="0" w:before="0"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Start of the digital public consultation, with face-to-face consultation spaces (during the celebration of Open Data Day 2023)</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Development of the public consultation (2 months)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Preparation of the fourth draft of the PNDA</w:t>
            </w:r>
            <w:r w:rsidDel="00000000" w:rsidR="00000000" w:rsidRPr="00000000">
              <w:rPr>
                <w:rtl w:val="0"/>
              </w:rPr>
            </w:r>
          </w:p>
        </w:tc>
      </w:tr>
      <w:tr>
        <w:trPr>
          <w:cantSplit w:val="0"/>
          <w:trHeight w:val="2400" w:hRule="atLeast"/>
          <w:tblHeader w:val="0"/>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jc w:val="center"/>
              <w:rPr>
                <w:rFonts w:ascii="Montserrat" w:cs="Montserrat" w:eastAsia="Montserrat" w:hAnsi="Montserrat"/>
                <w:b w:val="1"/>
                <w:color w:val="5041ac"/>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before="0" w:line="240"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3: Closing and presentation of results</w:t>
            </w:r>
          </w:p>
          <w:p w:rsidR="00000000" w:rsidDel="00000000" w:rsidP="00000000" w:rsidRDefault="00000000" w:rsidRPr="00000000" w14:paraId="0000001F">
            <w:pPr>
              <w:spacing w:before="0" w:line="240"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Presentation to the National Transparency System (composed of the guarantor agencies throughout the country) for review</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Approval of the PNDA by the SNT</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Publication in the Official Gazette of the Federation (this step formalizes its application at the national level)</w:t>
            </w:r>
            <w:r w:rsidDel="00000000" w:rsidR="00000000" w:rsidRPr="00000000">
              <w:rPr>
                <w:rtl w:val="0"/>
              </w:rPr>
            </w:r>
          </w:p>
        </w:tc>
      </w:tr>
    </w:tbl>
    <w:p w:rsidR="00000000" w:rsidDel="00000000" w:rsidP="00000000" w:rsidRDefault="00000000" w:rsidRPr="00000000" w14:paraId="00000023">
      <w:pPr>
        <w:spacing w:before="0" w:line="240" w:lineRule="auto"/>
        <w:ind w:left="720" w:firstLine="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4">
      <w:pPr>
        <w:numPr>
          <w:ilvl w:val="0"/>
          <w:numId w:val="1"/>
        </w:numPr>
        <w:spacing w:before="0" w:line="240" w:lineRule="auto"/>
        <w:ind w:left="720" w:hanging="36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Areas of collaboration</w:t>
      </w:r>
      <w:r w:rsidDel="00000000" w:rsidR="00000000" w:rsidRPr="00000000">
        <w:rPr>
          <w:rtl w:val="0"/>
        </w:rPr>
      </w:r>
    </w:p>
    <w:p w:rsidR="00000000" w:rsidDel="00000000" w:rsidP="00000000" w:rsidRDefault="00000000" w:rsidRPr="00000000" w14:paraId="00000025">
      <w:pPr>
        <w:spacing w:before="240" w:line="240"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To date, the project has favored an open approach, including the participation of guarantor agencies, authorities, academia, civil society, the open data community of practice and the local, national and international business sector.</w:t>
      </w:r>
    </w:p>
    <w:p w:rsidR="00000000" w:rsidDel="00000000" w:rsidP="00000000" w:rsidRDefault="00000000" w:rsidRPr="00000000" w14:paraId="00000026">
      <w:pPr>
        <w:spacing w:before="240" w:line="240" w:lineRule="auto"/>
        <w:rPr>
          <w:rFonts w:ascii="Montserrat" w:cs="Montserrat" w:eastAsia="Montserrat" w:hAnsi="Montserrat"/>
          <w:b w:val="1"/>
          <w:color w:val="5041ac"/>
          <w:sz w:val="22"/>
          <w:szCs w:val="22"/>
        </w:rPr>
      </w:pPr>
      <w:r w:rsidDel="00000000" w:rsidR="00000000" w:rsidRPr="00000000">
        <w:rPr>
          <w:rFonts w:ascii="Montserrat" w:cs="Montserrat" w:eastAsia="Montserrat" w:hAnsi="Montserrat"/>
          <w:sz w:val="22"/>
          <w:szCs w:val="22"/>
          <w:rtl w:val="0"/>
        </w:rPr>
        <w:t xml:space="preserve">In this sense, collaboration with other national and international public or private organizations is an opportunity to strengthen the PNDA during the public consultation period, or during the implementation of the policy, given that alliances can be generated to incorporate talent, experiences, standards, infrastructure or other elements that are generating transformative results in Mexico or globally, to thereby enhance the results of the implementation of the PNDA and move towards harmonization of open data efforts and the consolidation of a global community in this area.</w:t>
      </w:r>
      <w:r w:rsidDel="00000000" w:rsidR="00000000" w:rsidRPr="00000000">
        <w:rPr>
          <w:rtl w:val="0"/>
        </w:rPr>
      </w:r>
    </w:p>
    <w:p w:rsidR="00000000" w:rsidDel="00000000" w:rsidP="00000000" w:rsidRDefault="00000000" w:rsidRPr="00000000" w14:paraId="00000027">
      <w:pPr>
        <w:numPr>
          <w:ilvl w:val="0"/>
          <w:numId w:val="1"/>
        </w:numPr>
        <w:spacing w:before="240" w:line="240" w:lineRule="auto"/>
        <w:ind w:left="720" w:hanging="36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More information and contact</w:t>
      </w:r>
      <w:r w:rsidDel="00000000" w:rsidR="00000000" w:rsidRPr="00000000">
        <w:rPr>
          <w:rtl w:val="0"/>
        </w:rPr>
      </w:r>
    </w:p>
    <w:p w:rsidR="00000000" w:rsidDel="00000000" w:rsidP="00000000" w:rsidRDefault="00000000" w:rsidRPr="00000000" w14:paraId="00000028">
      <w:pPr>
        <w:spacing w:before="240" w:line="240" w:lineRule="auto"/>
        <w:rPr>
          <w:sz w:val="24"/>
          <w:szCs w:val="24"/>
        </w:rPr>
      </w:pPr>
      <w:r w:rsidDel="00000000" w:rsidR="00000000" w:rsidRPr="00000000">
        <w:rPr>
          <w:rFonts w:ascii="Montserrat" w:cs="Montserrat" w:eastAsia="Montserrat" w:hAnsi="Montserrat"/>
          <w:sz w:val="22"/>
          <w:szCs w:val="22"/>
          <w:rtl w:val="0"/>
        </w:rPr>
        <w:t xml:space="preserve">All information about the Abramos Mexico strategy, as well as the process of building the public policy, is available at</w:t>
      </w:r>
      <w:hyperlink r:id="rId7">
        <w:r w:rsidDel="00000000" w:rsidR="00000000" w:rsidRPr="00000000">
          <w:rPr>
            <w:rFonts w:ascii="Montserrat" w:cs="Montserrat" w:eastAsia="Montserrat" w:hAnsi="Montserrat"/>
            <w:sz w:val="22"/>
            <w:szCs w:val="22"/>
            <w:rtl w:val="0"/>
          </w:rPr>
          <w:t xml:space="preserve"> https://abramosmexico.mx</w:t>
        </w:r>
      </w:hyperlink>
      <w:r w:rsidDel="00000000" w:rsidR="00000000" w:rsidRPr="00000000">
        <w:rPr>
          <w:sz w:val="24"/>
          <w:szCs w:val="24"/>
          <w:rtl w:val="0"/>
        </w:rPr>
        <w:t xml:space="preserve">.  </w:t>
      </w: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0000000000002" w:top="1984.25196850393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rFonts w:ascii="Proxima Nova" w:cs="Proxima Nova" w:eastAsia="Proxima Nova" w:hAnsi="Proxima Nova"/>
      </w:rPr>
    </w:pPr>
    <w:r w:rsidDel="00000000" w:rsidR="00000000" w:rsidRPr="00000000">
      <w:rPr>
        <w:rFonts w:ascii="Proxima Nova" w:cs="Proxima Nova" w:eastAsia="Proxima Nova" w:hAnsi="Proxima Nov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-928687</wp:posOffset>
          </wp:positionH>
          <wp:positionV relativeFrom="paragraph">
            <wp:posOffset>685800</wp:posOffset>
          </wp:positionV>
          <wp:extent cx="7572375" cy="10717724"/>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2375" cy="10717724"/>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-1209674</wp:posOffset>
          </wp:positionH>
          <wp:positionV relativeFrom="paragraph">
            <wp:posOffset>690375</wp:posOffset>
          </wp:positionV>
          <wp:extent cx="8705850" cy="8041461"/>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05850" cy="8041461"/>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-1504949</wp:posOffset>
          </wp:positionH>
          <wp:positionV relativeFrom="paragraph">
            <wp:posOffset>705945</wp:posOffset>
          </wp:positionV>
          <wp:extent cx="8153400" cy="10715625"/>
          <wp:effectExtent b="0" l="0" r="0" t="0"/>
          <wp:wrapNone/>
          <wp:docPr id="11" name="image1.png"/>
          <a:graphic>
            <a:graphicData uri="http://schemas.openxmlformats.org/drawingml/2006/picture">
              <pic:pic>
                <pic:nvPicPr>
                  <pic:cNvPr id="0" name="image1.png"/>
                  <pic:cNvPicPr preferRelativeResize="0"/>
                </pic:nvPicPr>
                <pic:blipFill>
                  <a:blip r:embed="rId1"/>
                  <a:srcRect b="-15074" l="0" r="4037" t="20931"/>
                  <a:stretch>
                    <a:fillRect/>
                  </a:stretch>
                </pic:blipFill>
                <pic:spPr>
                  <a:xfrm>
                    <a:off x="0" y="0"/>
                    <a:ext cx="8153400" cy="107156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-1981199</wp:posOffset>
          </wp:positionH>
          <wp:positionV relativeFrom="paragraph">
            <wp:posOffset>709425</wp:posOffset>
          </wp:positionV>
          <wp:extent cx="8615363" cy="12392025"/>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15363" cy="123920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-2076449</wp:posOffset>
          </wp:positionH>
          <wp:positionV relativeFrom="paragraph">
            <wp:posOffset>702186</wp:posOffset>
          </wp:positionV>
          <wp:extent cx="8643938" cy="1071562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43938" cy="107156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-2076449</wp:posOffset>
          </wp:positionH>
          <wp:positionV relativeFrom="paragraph">
            <wp:posOffset>692661</wp:posOffset>
          </wp:positionV>
          <wp:extent cx="8720138" cy="10582275"/>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20138" cy="105822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-919162</wp:posOffset>
          </wp:positionH>
          <wp:positionV relativeFrom="paragraph">
            <wp:posOffset>704850</wp:posOffset>
          </wp:positionV>
          <wp:extent cx="7562850" cy="10708199"/>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2850" cy="10708199"/>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-2076449</wp:posOffset>
          </wp:positionH>
          <wp:positionV relativeFrom="paragraph">
            <wp:posOffset>709425</wp:posOffset>
          </wp:positionV>
          <wp:extent cx="8724900" cy="10984611"/>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24900" cy="10984611"/>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-2076449</wp:posOffset>
          </wp:positionH>
          <wp:positionV relativeFrom="paragraph">
            <wp:posOffset>702186</wp:posOffset>
          </wp:positionV>
          <wp:extent cx="8734425" cy="1071562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34425" cy="107156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-2076449</wp:posOffset>
          </wp:positionH>
          <wp:positionV relativeFrom="paragraph">
            <wp:posOffset>690375</wp:posOffset>
          </wp:positionV>
          <wp:extent cx="8758238" cy="10582275"/>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58238" cy="105822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709425</wp:posOffset>
          </wp:positionV>
          <wp:extent cx="7553325" cy="10708199"/>
          <wp:effectExtent b="0" l="0" r="0" t="0"/>
          <wp:wrapNone/>
          <wp:docPr id="1" name="image1.png"/>
          <a:graphic>
            <a:graphicData uri="http://schemas.openxmlformats.org/drawingml/2006/picture">
              <pic:pic>
                <pic:nvPicPr>
                  <pic:cNvPr id="0" name="image1.png"/>
                  <pic:cNvPicPr preferRelativeResize="0"/>
                </pic:nvPicPr>
                <pic:blipFill>
                  <a:blip r:embed="rId1"/>
                  <a:srcRect b="1115" l="0" r="0" t="0"/>
                  <a:stretch>
                    <a:fillRect/>
                  </a:stretch>
                </pic:blipFill>
                <pic:spPr>
                  <a:xfrm>
                    <a:off x="0" y="0"/>
                    <a:ext cx="7553325" cy="10708199"/>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-1362074</wp:posOffset>
          </wp:positionH>
          <wp:positionV relativeFrom="paragraph">
            <wp:posOffset>687898</wp:posOffset>
          </wp:positionV>
          <wp:extent cx="8024813" cy="10658475"/>
          <wp:effectExtent b="0" l="0" r="0" t="0"/>
          <wp:wrapNone/>
          <wp:docPr id="14" name="image1.png"/>
          <a:graphic>
            <a:graphicData uri="http://schemas.openxmlformats.org/drawingml/2006/picture">
              <pic:pic>
                <pic:nvPicPr>
                  <pic:cNvPr id="0" name="image1.png"/>
                  <pic:cNvPicPr preferRelativeResize="0"/>
                </pic:nvPicPr>
                <pic:blipFill>
                  <a:blip r:embed="rId1"/>
                  <a:srcRect b="0" l="0" r="2021" t="0"/>
                  <a:stretch>
                    <a:fillRect/>
                  </a:stretch>
                </pic:blipFill>
                <pic:spPr>
                  <a:xfrm>
                    <a:off x="0" y="0"/>
                    <a:ext cx="8024813" cy="106584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-1647824</wp:posOffset>
          </wp:positionH>
          <wp:positionV relativeFrom="paragraph">
            <wp:posOffset>690375</wp:posOffset>
          </wp:positionV>
          <wp:extent cx="8734425" cy="8412936"/>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34425" cy="84129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-966787</wp:posOffset>
          </wp:positionH>
          <wp:positionV relativeFrom="paragraph">
            <wp:posOffset>-428624</wp:posOffset>
          </wp:positionV>
          <wp:extent cx="7596188" cy="8515350"/>
          <wp:effectExtent b="0" l="0" r="0" t="0"/>
          <wp:wrapNone/>
          <wp:docPr id="7" name="image1.png"/>
          <a:graphic>
            <a:graphicData uri="http://schemas.openxmlformats.org/drawingml/2006/picture">
              <pic:pic>
                <pic:nvPicPr>
                  <pic:cNvPr id="0" name="image1.png"/>
                  <pic:cNvPicPr preferRelativeResize="0"/>
                </pic:nvPicPr>
                <pic:blipFill>
                  <a:blip r:embed="rId1"/>
                  <a:srcRect b="20162" l="0" r="0" t="0"/>
                  <a:stretch>
                    <a:fillRect/>
                  </a:stretch>
                </pic:blipFill>
                <pic:spPr>
                  <a:xfrm>
                    <a:off x="0" y="0"/>
                    <a:ext cx="7596188" cy="85153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b w:val="1"/>
        <w:sz w:val="26"/>
        <w:szCs w:val="26"/>
      </w:rPr>
    </w:pPr>
    <w:r w:rsidDel="00000000" w:rsidR="00000000" w:rsidRPr="00000000">
      <w:rPr>
        <w:rtl w:val="0"/>
      </w:rPr>
    </w:r>
  </w:p>
  <w:p w:rsidR="00000000" w:rsidDel="00000000" w:rsidP="00000000" w:rsidRDefault="00000000" w:rsidRPr="00000000" w14:paraId="0000002C">
    <w:pPr>
      <w:rPr>
        <w:b w:val="1"/>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lang w:val="es_419"/>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home.inai.org.mx" TargetMode="External"/><Relationship Id="rId7" Type="http://schemas.openxmlformats.org/officeDocument/2006/relationships/hyperlink" Target="https://abramosmexico.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