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="240" w:lineRule="auto"/>
        <w:jc w:val="center"/>
        <w:rPr>
          <w:b w:val="1"/>
          <w:color w:val="5041ac"/>
          <w:sz w:val="36"/>
          <w:szCs w:val="36"/>
        </w:rPr>
      </w:pPr>
      <w:r w:rsidDel="00000000" w:rsidR="00000000" w:rsidRPr="00000000">
        <w:rPr>
          <w:b w:val="1"/>
          <w:color w:val="5041ac"/>
          <w:sz w:val="36"/>
          <w:szCs w:val="36"/>
          <w:rtl w:val="0"/>
        </w:rPr>
        <w:t xml:space="preserve">POLÍTICA NACIONAL DE DATOS ABIERTOS</w:t>
      </w:r>
    </w:p>
    <w:p w:rsidR="00000000" w:rsidDel="00000000" w:rsidP="00000000" w:rsidRDefault="00000000" w:rsidRPr="00000000" w14:paraId="00000002">
      <w:pPr>
        <w:pageBreakBefore w:val="0"/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3"/>
        </w:numPr>
        <w:spacing w:after="0" w:before="0" w:line="240" w:lineRule="auto"/>
        <w:ind w:left="283.46456692913387" w:hanging="285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Introducción</w:t>
      </w:r>
    </w:p>
    <w:p w:rsidR="00000000" w:rsidDel="00000000" w:rsidP="00000000" w:rsidRDefault="00000000" w:rsidRPr="00000000" w14:paraId="00000004">
      <w:pPr>
        <w:pageBreakBefore w:val="0"/>
        <w:spacing w:after="0" w:before="0" w:line="24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before="0"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En 2022, el </w:t>
      </w: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INAI</w:t>
        </w:r>
      </w:hyperlink>
      <w:r w:rsidDel="00000000" w:rsidR="00000000" w:rsidRPr="00000000">
        <w:rPr>
          <w:sz w:val="22"/>
          <w:szCs w:val="22"/>
          <w:rtl w:val="0"/>
        </w:rPr>
        <w:t xml:space="preserve"> junto con otras instituciones, anunció el establecimiento de la estrategia Abramos México, la cual incluye un conjunto de acciones dirigidas a que el Estado mexicano cuente con una </w:t>
      </w:r>
      <w:r w:rsidDel="00000000" w:rsidR="00000000" w:rsidRPr="00000000">
        <w:rPr>
          <w:b w:val="1"/>
          <w:sz w:val="22"/>
          <w:szCs w:val="22"/>
          <w:rtl w:val="0"/>
        </w:rPr>
        <w:t xml:space="preserve">Política Nacional de Datos Abiertos</w:t>
      </w:r>
      <w:r w:rsidDel="00000000" w:rsidR="00000000" w:rsidRPr="00000000">
        <w:rPr>
          <w:sz w:val="22"/>
          <w:szCs w:val="22"/>
          <w:rtl w:val="0"/>
        </w:rPr>
        <w:t xml:space="preserve">, que sea aplicable y progresivamente implementada en los tres poderes y órdenes de gobierno. </w:t>
      </w:r>
    </w:p>
    <w:p w:rsidR="00000000" w:rsidDel="00000000" w:rsidP="00000000" w:rsidRDefault="00000000" w:rsidRPr="00000000" w14:paraId="00000006">
      <w:pPr>
        <w:pageBreakBefore w:val="0"/>
        <w:spacing w:after="0" w:before="0"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5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 Política Nacional de Datos Abiertos, será un documento que incluya  - entre otros elementos -  un diagnóstico, problemáticas identificadas, alternativas de solución, objetivos, ejes transversales, poblaciones potenciales, así como responsables y sectores relevantes para la apertura de datos. Este documento, guiará a los organismos garantes e instituciones para que, atendiendo a su contexto, avancen en el desarrollo de la agenda de datos abiertos.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5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Estrategia </w:t>
      </w:r>
      <w:r w:rsidDel="00000000" w:rsidR="00000000" w:rsidRPr="00000000">
        <w:rPr>
          <w:b w:val="1"/>
          <w:sz w:val="22"/>
          <w:szCs w:val="22"/>
          <w:rtl w:val="0"/>
        </w:rPr>
        <w:t xml:space="preserve">d</w:t>
      </w:r>
      <w:r w:rsidDel="00000000" w:rsidR="00000000" w:rsidRPr="00000000">
        <w:rPr>
          <w:b w:val="1"/>
          <w:sz w:val="22"/>
          <w:szCs w:val="22"/>
          <w:rtl w:val="0"/>
        </w:rPr>
        <w:t xml:space="preserve">e trabajo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before="0" w:line="24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 estrategia Abramos México, prevé la existencia de diversos grupos de trabajo para construir la Política Nacional de Datos Abiertos (PNDA). El primero, un </w:t>
      </w:r>
      <w:r w:rsidDel="00000000" w:rsidR="00000000" w:rsidRPr="00000000">
        <w:rPr>
          <w:b w:val="1"/>
          <w:sz w:val="22"/>
          <w:szCs w:val="22"/>
          <w:rtl w:val="0"/>
        </w:rPr>
        <w:t xml:space="preserve">Grupo Impulsor</w:t>
      </w:r>
      <w:r w:rsidDel="00000000" w:rsidR="00000000" w:rsidRPr="00000000">
        <w:rPr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sz w:val="22"/>
          <w:szCs w:val="22"/>
          <w:rtl w:val="0"/>
        </w:rPr>
        <w:t xml:space="preserve">, encargado de liderar y definir la estrategia en lo general; un </w:t>
      </w:r>
      <w:r w:rsidDel="00000000" w:rsidR="00000000" w:rsidRPr="00000000">
        <w:rPr>
          <w:b w:val="1"/>
          <w:sz w:val="22"/>
          <w:szCs w:val="22"/>
          <w:rtl w:val="0"/>
        </w:rPr>
        <w:t xml:space="preserve">Grupo Técnico</w:t>
      </w:r>
      <w:r w:rsidDel="00000000" w:rsidR="00000000" w:rsidRPr="00000000">
        <w:rPr>
          <w:sz w:val="22"/>
          <w:szCs w:val="22"/>
          <w:rtl w:val="0"/>
        </w:rPr>
        <w:t xml:space="preserve"> encargado de instrumentar la estrategia; y un </w:t>
      </w:r>
      <w:r w:rsidDel="00000000" w:rsidR="00000000" w:rsidRPr="00000000">
        <w:rPr>
          <w:b w:val="1"/>
          <w:sz w:val="22"/>
          <w:szCs w:val="22"/>
          <w:rtl w:val="0"/>
        </w:rPr>
        <w:t xml:space="preserve">Grupo Especializado</w:t>
      </w:r>
      <w:r w:rsidDel="00000000" w:rsidR="00000000" w:rsidRPr="00000000">
        <w:rPr>
          <w:sz w:val="22"/>
          <w:szCs w:val="22"/>
          <w:rtl w:val="0"/>
        </w:rPr>
        <w:t xml:space="preserve">, que se integró en mesas temáticas de personas expertas nacionales e internacional durante la Conferencia Nacional de Datos Abiertos 2022 (encuentro de la comunidad de datos abiertos, que se celebra cada año en México).</w:t>
      </w:r>
    </w:p>
    <w:p w:rsidR="00000000" w:rsidDel="00000000" w:rsidP="00000000" w:rsidRDefault="00000000" w:rsidRPr="00000000" w14:paraId="0000000E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before="0"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Además, se ha definido un proceso de construcción que incluye esquemas colaborativos basados en la transparencia, la participación y la innovación, estructurado en tres etapas:</w:t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5"/>
        <w:gridCol w:w="7140"/>
        <w:tblGridChange w:id="0">
          <w:tblGrid>
            <w:gridCol w:w="1365"/>
            <w:gridCol w:w="714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vMerge w:val="restart"/>
            <w:shd w:fill="5041ac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ETAPAS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1: Preparación y apertura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Instalación del Grupo Impulsor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Construcción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documentos base.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5041ac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2: Desarrollo de trabajos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Creación del Grupo Técnico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Elaboración del primer borrador de la PNDA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Mesas de diálogo del Grupo Especializado en la Conferencia Nacional de Datos Abiertos 2022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Elaboración del primer borrador de la PNDA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Mesas de diálogo de datos abiertos en la Semana Nacional de Transparencia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Foros Regionales en los estados del país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Elaboración del tercer borrador de la PNDA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Inicio de la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Consulta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pública digital, con espacios de consulta presenciales (durante la celebración del Open Data Day 2023)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Desarrollo de la consulta pública (2 meses)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Elaboración del cuarto borrador de la PNDA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5041ac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3: Cierre y presentación de resultados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Presentación al Sistema Nacional de Transparencia (integrado por los organismos garantes de todo el país) para su revisión.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Aprobación de la PNDA por el SNT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Publicación en el Diario Oficial de la Federación (con este paso se formaliza su aplicación a nivel nacional). </w:t>
            </w:r>
          </w:p>
        </w:tc>
      </w:tr>
    </w:tbl>
    <w:p w:rsidR="00000000" w:rsidDel="00000000" w:rsidP="00000000" w:rsidRDefault="00000000" w:rsidRPr="00000000" w14:paraId="00000026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5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Áreas de colaboración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la fecha, el proyecto ha privilegiado un enfoque de apertura, incluyendo la participación de organismos garantes, autoridades, academia, sociedad civil, comunidad de práctica de datos abiertos y sector empresarial del ámbito local, nacional e internacional.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En este sentido, </w:t>
      </w:r>
      <w:r w:rsidDel="00000000" w:rsidR="00000000" w:rsidRPr="00000000">
        <w:rPr>
          <w:b w:val="1"/>
          <w:sz w:val="22"/>
          <w:szCs w:val="22"/>
          <w:rtl w:val="0"/>
        </w:rPr>
        <w:t xml:space="preserve">la colaboración con otras organizaciones públicas o privadas nacionales e internacionales es una oportunidad para fortalecer la PNDA durante la vigencia de la consulta pública, o bien, durante la implementación de la política</w:t>
      </w:r>
      <w:r w:rsidDel="00000000" w:rsidR="00000000" w:rsidRPr="00000000">
        <w:rPr>
          <w:sz w:val="22"/>
          <w:szCs w:val="22"/>
          <w:rtl w:val="0"/>
        </w:rPr>
        <w:t xml:space="preserve">, dado que se puedan generar alianzas que incorporen el talento, las experiencias, los estándares, la infraestructura u otros elementos que estén generando resultados transformadores en México o a nivel global, para con ello, potenciar los resultados de la implementación de la PNDA y avanzar hacia armonización de los esfuerzos de datos abiertos y a la consolidación de una comunidad global en esta materia.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87" w:right="0" w:hanging="285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Más información y 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Toda la información acerca de la estrategia Abramos México, así como del proceso de construcción de la política pública, puede consultarse en </w:t>
      </w:r>
      <w:hyperlink r:id="rId8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https://abramosmexico.mx</w:t>
        </w:r>
      </w:hyperlink>
      <w:r w:rsidDel="00000000" w:rsidR="00000000" w:rsidRPr="00000000">
        <w:rPr>
          <w:sz w:val="22"/>
          <w:szCs w:val="22"/>
          <w:rtl w:val="0"/>
        </w:rPr>
        <w:t xml:space="preserve">.</w:t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4" w:w="11909" w:orient="portrait"/>
      <w:pgMar w:bottom="1440.0000000000002" w:top="1984.25196850393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right"/>
      <w:rPr>
        <w:rFonts w:ascii="Proxima Nova" w:cs="Proxima Nova" w:eastAsia="Proxima Nova" w:hAnsi="Proxima Nova"/>
      </w:rPr>
    </w:pPr>
    <w:r w:rsidDel="00000000" w:rsidR="00000000" w:rsidRPr="00000000">
      <w:rPr>
        <w:rFonts w:ascii="Proxima Nova" w:cs="Proxima Nova" w:eastAsia="Proxima Nova" w:hAnsi="Proxima Nov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-928687</wp:posOffset>
          </wp:positionH>
          <wp:positionV relativeFrom="paragraph">
            <wp:posOffset>685800</wp:posOffset>
          </wp:positionV>
          <wp:extent cx="7572375" cy="10717724"/>
          <wp:effectExtent b="0" l="0" r="0" t="0"/>
          <wp:wrapNone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5" cy="1071772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-1209674</wp:posOffset>
          </wp:positionH>
          <wp:positionV relativeFrom="paragraph">
            <wp:posOffset>690375</wp:posOffset>
          </wp:positionV>
          <wp:extent cx="8705850" cy="8041461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05850" cy="804146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-1504949</wp:posOffset>
          </wp:positionH>
          <wp:positionV relativeFrom="paragraph">
            <wp:posOffset>705945</wp:posOffset>
          </wp:positionV>
          <wp:extent cx="8153400" cy="10715625"/>
          <wp:effectExtent b="0" l="0" r="0" t="0"/>
          <wp:wrapNone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5074" l="0" r="4037" t="20931"/>
                  <a:stretch>
                    <a:fillRect/>
                  </a:stretch>
                </pic:blipFill>
                <pic:spPr>
                  <a:xfrm>
                    <a:off x="0" y="0"/>
                    <a:ext cx="8153400" cy="10715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-1981199</wp:posOffset>
          </wp:positionH>
          <wp:positionV relativeFrom="paragraph">
            <wp:posOffset>709425</wp:posOffset>
          </wp:positionV>
          <wp:extent cx="8615363" cy="12392025"/>
          <wp:effectExtent b="0" l="0" r="0" t="0"/>
          <wp:wrapNone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15363" cy="123920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-2076449</wp:posOffset>
          </wp:positionH>
          <wp:positionV relativeFrom="paragraph">
            <wp:posOffset>702186</wp:posOffset>
          </wp:positionV>
          <wp:extent cx="8643938" cy="1071562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43938" cy="10715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-2076449</wp:posOffset>
          </wp:positionH>
          <wp:positionV relativeFrom="paragraph">
            <wp:posOffset>692661</wp:posOffset>
          </wp:positionV>
          <wp:extent cx="8720138" cy="10582275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20138" cy="105822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704850</wp:posOffset>
          </wp:positionV>
          <wp:extent cx="7562850" cy="10708199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2850" cy="107081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-2076449</wp:posOffset>
          </wp:positionH>
          <wp:positionV relativeFrom="paragraph">
            <wp:posOffset>709425</wp:posOffset>
          </wp:positionV>
          <wp:extent cx="8724900" cy="10984611"/>
          <wp:effectExtent b="0" l="0" r="0" t="0"/>
          <wp:wrapNone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24900" cy="1098461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-2076449</wp:posOffset>
          </wp:positionH>
          <wp:positionV relativeFrom="paragraph">
            <wp:posOffset>702186</wp:posOffset>
          </wp:positionV>
          <wp:extent cx="8734425" cy="1071562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34425" cy="10715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-2076449</wp:posOffset>
          </wp:positionH>
          <wp:positionV relativeFrom="paragraph">
            <wp:posOffset>690375</wp:posOffset>
          </wp:positionV>
          <wp:extent cx="8758238" cy="10582275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58238" cy="105822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709425</wp:posOffset>
          </wp:positionV>
          <wp:extent cx="7553325" cy="10708199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115" l="0" r="0" t="0"/>
                  <a:stretch>
                    <a:fillRect/>
                  </a:stretch>
                </pic:blipFill>
                <pic:spPr>
                  <a:xfrm>
                    <a:off x="0" y="0"/>
                    <a:ext cx="7553325" cy="107081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-1362074</wp:posOffset>
          </wp:positionH>
          <wp:positionV relativeFrom="paragraph">
            <wp:posOffset>687898</wp:posOffset>
          </wp:positionV>
          <wp:extent cx="8024813" cy="10658475"/>
          <wp:effectExtent b="0" l="0" r="0" t="0"/>
          <wp:wrapNone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2021" t="0"/>
                  <a:stretch>
                    <a:fillRect/>
                  </a:stretch>
                </pic:blipFill>
                <pic:spPr>
                  <a:xfrm>
                    <a:off x="0" y="0"/>
                    <a:ext cx="8024813" cy="106584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-1647824</wp:posOffset>
          </wp:positionH>
          <wp:positionV relativeFrom="paragraph">
            <wp:posOffset>690375</wp:posOffset>
          </wp:positionV>
          <wp:extent cx="8734425" cy="8412936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34425" cy="841293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INAI (coordinador), Comisión de Gobierno Abierto y de Transparencia Proactiva del Sistema Nacional de Transparencia</w:t>
      </w:r>
      <w:r w:rsidDel="00000000" w:rsidR="00000000" w:rsidRPr="00000000">
        <w:rPr>
          <w:rtl w:val="0"/>
        </w:rPr>
        <w:t xml:space="preserve">, Archivo General de la Nación, Instituto Nacional de Estadística y Geografía, Codeando México, A.C., académicos del Centro de Investigación y Docencia Económicas y de El Colegio de México, así como la Secretaría de la Función Pública, el Comité de Participación Ciudadana del Sistema Nacional Anticorrupción (SNA) y la Secretaría Ejecutiva del </w:t>
      </w:r>
      <w:r w:rsidDel="00000000" w:rsidR="00000000" w:rsidRPr="00000000">
        <w:rPr>
          <w:rtl w:val="0"/>
        </w:rPr>
        <w:t xml:space="preserve">SNA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-966787</wp:posOffset>
          </wp:positionH>
          <wp:positionV relativeFrom="paragraph">
            <wp:posOffset>-428624</wp:posOffset>
          </wp:positionV>
          <wp:extent cx="7596188" cy="8515350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0162" l="0" r="0" t="0"/>
                  <a:stretch>
                    <a:fillRect/>
                  </a:stretch>
                </pic:blipFill>
                <pic:spPr>
                  <a:xfrm>
                    <a:off x="0" y="0"/>
                    <a:ext cx="7596188" cy="8515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center"/>
      <w:rPr>
        <w:b w:val="1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rPr>
        <w:b w:val="1"/>
        <w:sz w:val="26"/>
        <w:szCs w:val="2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lang w:val="es_419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home.inai.org.mx/" TargetMode="External"/><Relationship Id="rId8" Type="http://schemas.openxmlformats.org/officeDocument/2006/relationships/hyperlink" Target="https://abramosmexico.m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